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8"/>
        <w:jc w:val="center"/>
        <w:spacing w:line="276" w:lineRule="auto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План проекта «Формула 3Р» </w:t>
      </w:r>
      <w:r/>
    </w:p>
    <w:p>
      <w:pPr>
        <w:pStyle w:val="708"/>
        <w:jc w:val="center"/>
        <w:spacing w:line="276" w:lineRule="auto"/>
        <w:rPr>
          <w:rFonts w:ascii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Sans Caption" w:cs="PT Astra Serif"/>
          <w:b/>
          <w:color w:val="000000" w:themeColor="text1"/>
          <w:sz w:val="24"/>
          <w:szCs w:val="24"/>
        </w:rPr>
        <w:t xml:space="preserve">Ресурсное пространство "Семейный нетворкинг"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/>
    </w:p>
    <w:p>
      <w:pPr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/>
    </w:p>
    <w:p>
      <w:pPr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b/>
          <w:bCs/>
          <w:sz w:val="24"/>
          <w:szCs w:val="24"/>
          <w:u w:val="single"/>
        </w:rPr>
        <w:t xml:space="preserve">Целевая аудитория</w:t>
      </w:r>
      <w:r>
        <w:rPr>
          <w:rFonts w:ascii="PT Astra Serif" w:hAnsi="PT Astra Serif" w:cs="PT Astra Serif"/>
          <w:b/>
          <w:bCs/>
          <w:sz w:val="24"/>
          <w:szCs w:val="24"/>
          <w:u w:val="none"/>
        </w:rPr>
        <w:t xml:space="preserve">:</w:t>
      </w:r>
      <w:r>
        <w:rPr>
          <w:rFonts w:ascii="PT Astra Serif" w:hAnsi="PT Astra Serif" w:cs="PT Astra Serif"/>
          <w:b/>
          <w:bCs/>
          <w:sz w:val="24"/>
          <w:szCs w:val="24"/>
          <w:u w:val="none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семьи, находящиеся в социально-опасном положении.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jc w:val="both"/>
        <w:rPr>
          <w:rFonts w:ascii="PT Astra Serif" w:hAnsi="PT Astra Serif" w:cs="DejaVuSans"/>
          <w:sz w:val="24"/>
          <w:szCs w:val="24"/>
          <w:highlight w:val="none"/>
        </w:rPr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  <w:t xml:space="preserve">Цель: </w:t>
      </w:r>
      <w:r>
        <w:rPr>
          <w:rFonts w:ascii="PT Astra Serif" w:hAnsi="PT Astra Serif" w:cs="DejaVuSans"/>
          <w:sz w:val="24"/>
          <w:szCs w:val="24"/>
        </w:rPr>
        <w:t xml:space="preserve">создание условий для </w:t>
      </w:r>
      <w:r>
        <w:rPr>
          <w:rFonts w:ascii="PT Astra Serif" w:hAnsi="PT Astra Serif" w:eastAsia="PT Sans" w:cs="PT Astra Serif"/>
          <w:color w:val="000000" w:themeColor="text1"/>
          <w:sz w:val="24"/>
          <w:szCs w:val="24"/>
          <w:highlight w:val="white"/>
        </w:rPr>
        <w:t xml:space="preserve">семей, находящихся в социально опасном положении, </w:t>
      </w:r>
      <w:r>
        <w:rPr>
          <w:rFonts w:ascii="PT Astra Serif" w:hAnsi="PT Astra Serif" w:cs="DejaVuSans"/>
          <w:sz w:val="24"/>
          <w:szCs w:val="24"/>
        </w:rPr>
        <w:t xml:space="preserve">которые </w:t>
      </w:r>
      <w:r>
        <w:rPr>
          <w:rFonts w:ascii="PT Astra Serif" w:hAnsi="PT Astra Serif" w:eastAsia="PT Sans" w:cs="PT Astra Serif"/>
          <w:color w:val="000000" w:themeColor="text1"/>
          <w:sz w:val="24"/>
          <w:szCs w:val="24"/>
          <w:highlight w:val="white"/>
        </w:rPr>
        <w:t xml:space="preserve">позволят  приобрести </w:t>
      </w:r>
      <w:r>
        <w:rPr>
          <w:rFonts w:ascii="PT Astra Serif" w:hAnsi="PT Astra Serif" w:eastAsia="PT Sans" w:cs="PT Astra Serif"/>
          <w:color w:val="000000" w:themeColor="text1"/>
          <w:sz w:val="24"/>
          <w:szCs w:val="24"/>
          <w:highlight w:val="white"/>
        </w:rPr>
        <w:t xml:space="preserve">новые знания, </w:t>
      </w:r>
      <w:r>
        <w:rPr>
          <w:rFonts w:ascii="PT Astra Serif" w:hAnsi="PT Astra Serif" w:cs="DejaVuSans"/>
          <w:sz w:val="24"/>
          <w:szCs w:val="24"/>
        </w:rPr>
        <w:t xml:space="preserve">развива</w:t>
      </w:r>
      <w:r>
        <w:rPr>
          <w:rFonts w:ascii="PT Astra Serif" w:hAnsi="PT Astra Serif" w:cs="DejaVuSans"/>
          <w:sz w:val="24"/>
          <w:szCs w:val="24"/>
        </w:rPr>
        <w:t xml:space="preserve">ться и </w:t>
      </w:r>
      <w:r>
        <w:rPr>
          <w:rFonts w:ascii="PT Astra Serif" w:hAnsi="PT Astra Serif" w:cs="DejaVuSans"/>
          <w:sz w:val="24"/>
          <w:szCs w:val="24"/>
        </w:rPr>
        <w:t xml:space="preserve">самореализовываться</w:t>
      </w:r>
      <w:r>
        <w:rPr>
          <w:rFonts w:ascii="PT Astra Serif" w:hAnsi="PT Astra Serif" w:cs="DejaVuSans"/>
          <w:sz w:val="24"/>
          <w:szCs w:val="24"/>
        </w:rPr>
        <w:t xml:space="preserve">, </w:t>
      </w:r>
      <w:r>
        <w:rPr>
          <w:rFonts w:ascii="PT Astra Serif" w:hAnsi="PT Astra Serif" w:eastAsia="PT Sans" w:cs="PT Astra Serif"/>
          <w:color w:val="000000" w:themeColor="text1"/>
          <w:sz w:val="24"/>
          <w:szCs w:val="24"/>
          <w:highlight w:val="white"/>
        </w:rPr>
        <w:t xml:space="preserve">повысить компетенцию в вопросах воспитания, </w:t>
      </w:r>
      <w:r>
        <w:rPr>
          <w:rFonts w:ascii="PT Astra Serif" w:hAnsi="PT Astra Serif" w:eastAsia="PT Sans" w:cs="PT Astra Serif"/>
          <w:color w:val="000000" w:themeColor="text1"/>
          <w:sz w:val="24"/>
          <w:szCs w:val="24"/>
          <w:highlight w:val="white"/>
        </w:rPr>
        <w:t xml:space="preserve">восполнить родительские ресурсы, </w:t>
      </w:r>
      <w:r>
        <w:rPr>
          <w:rFonts w:ascii="PT Astra Serif" w:hAnsi="PT Astra Serif" w:cs="DejaVuSans"/>
          <w:sz w:val="24"/>
          <w:szCs w:val="24"/>
        </w:rPr>
        <w:t xml:space="preserve">гармонизировать внутрисемейные отношения и укрепить институт семьи</w:t>
      </w:r>
      <w:r>
        <w:rPr>
          <w:rFonts w:ascii="PT Astra Serif" w:hAnsi="PT Astra Serif" w:cs="DejaVuSans"/>
          <w:sz w:val="24"/>
          <w:szCs w:val="24"/>
        </w:rPr>
        <w:t xml:space="preserve">.</w:t>
      </w:r>
      <w:r>
        <w:rPr>
          <w:rFonts w:ascii="PT Astra Serif" w:hAnsi="PT Astra Serif" w:cs="DejaVuSans"/>
          <w:sz w:val="24"/>
          <w:szCs w:val="24"/>
          <w:highlight w:val="none"/>
        </w:rPr>
      </w:r>
      <w:r/>
    </w:p>
    <w:tbl>
      <w:tblPr>
        <w:tblStyle w:val="866"/>
        <w:tblW w:w="15057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742"/>
        <w:gridCol w:w="3260"/>
        <w:gridCol w:w="2585"/>
        <w:gridCol w:w="4051"/>
        <w:gridCol w:w="2578"/>
        <w:gridCol w:w="18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spacing w:line="256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  <w:t xml:space="preserve">Название мероприятия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5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  <w:t xml:space="preserve">Цель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1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  <w:t xml:space="preserve">Содержание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8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  <w:t xml:space="preserve">Используемое оборудования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  <w:t xml:space="preserve">Целевая аудитория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pStyle w:val="868"/>
              <w:numPr>
                <w:ilvl w:val="0"/>
                <w:numId w:val="9"/>
              </w:numPr>
              <w:ind w:left="709" w:right="0" w:hanging="360"/>
              <w:jc w:val="left"/>
              <w:spacing w:line="256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Круглый стол «Мы разные, но мы вместе»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258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Гармонизация эмоциональных связей в семье.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4051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1. Оформление бэйджиков;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2. Упражнение “Давайте поздороваемся”;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3. Упражнение “Слепой и поводырь”;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4. Упражнение “Неваляшка”;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 Упражнение “Нехочухи”;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6. Упражнение “Беседа одним карандашом”;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7. Ролевая игра “Ситуации”;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8. Упражнение “Самоуважение”;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9. Общая рефлексия.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2578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исты бумаги формата А3, карандаши, фломастеры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заранее приготовленные карточки из плотной бумаги, булавки, фломастеры, скотч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Семьи СОП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numPr>
                <w:ilvl w:val="0"/>
                <w:numId w:val="9"/>
              </w:num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Семинар-практикум «Бить нельзя любить. Где ты поставишь запятую»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Профилактика жестокого обращение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1" w:type="dxa"/>
            <w:vMerge w:val="restart"/>
            <w:textDirection w:val="lrTb"/>
            <w:noWrap w:val="false"/>
          </w:tcPr>
          <w:p>
            <w:pPr>
              <w:pStyle w:val="868"/>
              <w:numPr>
                <w:ilvl w:val="0"/>
                <w:numId w:val="7"/>
              </w:numPr>
              <w:ind w:left="142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Водная часть. Приветствие.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68"/>
              <w:numPr>
                <w:ilvl w:val="0"/>
                <w:numId w:val="7"/>
              </w:numPr>
              <w:ind w:left="142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Практическая часть. Задание на карточках.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  <w:p>
            <w:pPr>
              <w:pStyle w:val="868"/>
              <w:numPr>
                <w:ilvl w:val="0"/>
                <w:numId w:val="7"/>
              </w:numPr>
              <w:ind w:left="142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Групповое практическое занятие.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  <w:p>
            <w:pPr>
              <w:pStyle w:val="868"/>
              <w:numPr>
                <w:ilvl w:val="0"/>
                <w:numId w:val="7"/>
              </w:numPr>
              <w:ind w:left="142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Рефлексия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  <w:p>
            <w:pPr>
              <w:pStyle w:val="868"/>
              <w:numPr>
                <w:ilvl w:val="0"/>
                <w:numId w:val="7"/>
              </w:numPr>
              <w:ind w:left="142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Рекомендации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Плакат, фломастеры, карточки с заданиями, проектор, ноутбук.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Merge w:val="restart"/>
            <w:textDirection w:val="lrTb"/>
            <w:noWrap w:val="false"/>
          </w:tcPr>
          <w:p>
            <w:pPr>
              <w:pStyle w:val="877"/>
              <w:jc w:val="center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Семьи СОП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pStyle w:val="868"/>
              <w:numPr>
                <w:ilvl w:val="0"/>
                <w:numId w:val="9"/>
              </w:num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Мастер-класс «Карвинг по мылу»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Создать условия для воплощения творческого вдохновения родителей, раскрыть творческий потенциал родителей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1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11"/>
              </w:numPr>
              <w:ind w:left="142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Вводная часть.Приветствие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68"/>
              <w:numPr>
                <w:ilvl w:val="0"/>
                <w:numId w:val="11"/>
              </w:numPr>
              <w:ind w:left="142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Инструктаж по технике безопасности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  <w:p>
            <w:pPr>
              <w:pStyle w:val="868"/>
              <w:numPr>
                <w:ilvl w:val="0"/>
                <w:numId w:val="11"/>
              </w:numPr>
              <w:ind w:left="142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Практическая часть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  <w:p>
            <w:pPr>
              <w:pStyle w:val="868"/>
              <w:numPr>
                <w:ilvl w:val="0"/>
                <w:numId w:val="11"/>
              </w:numPr>
              <w:ind w:left="142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Рефлексия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  <w:p>
            <w:pPr>
              <w:pStyle w:val="868"/>
              <w:numPr>
                <w:ilvl w:val="0"/>
                <w:numId w:val="11"/>
              </w:numPr>
              <w:ind w:left="142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Чаепитие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Канцелярский нож, мыло, проектор, ноутбук, продуктовые наборы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Семьи СОП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numPr>
                <w:ilvl w:val="0"/>
                <w:numId w:val="9"/>
              </w:num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270" w:after="135" w:line="285" w:lineRule="atLeast"/>
              <w:shd w:val="clear" w:color="ffffff" w:fill="ffffff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Тренинг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“Самоуважение”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jc w:val="left"/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5" w:type="dxa"/>
            <w:vMerge w:val="restart"/>
            <w:textDirection w:val="lrTb"/>
            <w:noWrap w:val="false"/>
          </w:tcPr>
          <w:p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Гармонизация эмоциональных связей в семье.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1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1. Оформление бэйджей;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2. “Ирина – интересная”;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3. Упражнение “Семейный герб и гимн”;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4. Упражнение “Найди свою маму”;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 Упражнение “Любящие родители”;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6. Упражнение - энергизатор “В магазине зеркал”;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7. Упражнение “Дракон кусает свой хвост”;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8. Упражнение “Разговор с деревом”;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9. Домашнее задание;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10. Рефлексия.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sz w:val="21"/>
              </w:rPr>
            </w:r>
            <w:r/>
          </w:p>
          <w:p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8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исты бумаги формата А3, карандаши, фломастеры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заранее приготовленные карточки из плотной бумаги, булавки, фломастеры, скотч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Семьи СОП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pStyle w:val="868"/>
              <w:numPr>
                <w:ilvl w:val="0"/>
                <w:numId w:val="9"/>
              </w:num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Беседа-игра «Игра – как способ семейного взаимодействия»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5" w:type="dxa"/>
            <w:textDirection w:val="lrTb"/>
            <w:noWrap w:val="false"/>
          </w:tcPr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Создание ситуаций взаимодействия и сотрудничества между опекунами и несовершеннолетними.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Отработка навыков позитивного взаимодействия с приемными детьми через игру;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Обогащение педагогического опыта замещающих родителей.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1" w:type="dxa"/>
            <w:textDirection w:val="lrTb"/>
            <w:noWrap w:val="false"/>
          </w:tcPr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Проведение семейных игр с  родителями и  детьми.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PT Astra Serif" w:hAnsi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  <w:highlight w:val="none"/>
              </w:rPr>
              <w:t xml:space="preserve">Рефлексия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8" w:type="dxa"/>
            <w:textDirection w:val="lrTb"/>
            <w:noWrap w:val="false"/>
          </w:tcPr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Семейная игротека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77"/>
              <w:jc w:val="center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Семьи СОП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9"/>
              </w:num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Летний пикник с элементами тренинга «Связующая нить»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Укрепление детско – родительских отношений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, взаимоотношений между опекунами и детьми. Р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аспространение позитивного опыта в воспитании детей, оставшихся без попечения родителей, в замещающих семьях.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4051" w:type="dxa"/>
            <w:textDirection w:val="lrTb"/>
            <w:noWrap w:val="false"/>
          </w:tcPr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Выход на природу, проведение психологического тренинга, проведение совместных семейных игр, рефлексия.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Спортивный инвентарь, продуктовый набор, карточки с заданиями.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77"/>
              <w:jc w:val="center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Семьи СОП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pStyle w:val="868"/>
              <w:numPr>
                <w:ilvl w:val="0"/>
                <w:numId w:val="9"/>
              </w:num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line="256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Квест-пикник «Family time»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2585" w:type="dxa"/>
            <w:vMerge w:val="restart"/>
            <w:textDirection w:val="lrTb"/>
            <w:noWrap w:val="false"/>
          </w:tcPr>
          <w:p>
            <w:pPr>
              <w:jc w:val="both"/>
              <w:spacing w:line="256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Сохранение и </w:t>
            </w: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  <w:highlight w:val="white"/>
              </w:rPr>
              <w:t xml:space="preserve">крепление семейных ценностей и традиций, профилактика нарушений в  детско-родительских отношениях </w:t>
            </w: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40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225" w:after="0"/>
              <w:shd w:val="clear" w:color="ffffff" w:fill="ffffff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1.Подготовка места для проведения квеста. Спрятать задания в тайники.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before="225" w:after="0"/>
              <w:shd w:val="clear" w:color="ffffff" w:fill="ffffff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Вводная часть. Проведение инструктажа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по правилам поведения и ознакомление с правилами игры.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before="0" w:beforeAutospacing="0" w:after="0"/>
              <w:shd w:val="clear" w:color="ffffff" w:fill="ffffff"/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  <w:highlight w:val="whit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  <w:highlight w:val="white"/>
                <w:u w:val="single"/>
              </w:rPr>
              <w:t xml:space="preserve">Станции</w:t>
            </w:r>
            <w:r>
              <w:rPr>
                <w:rFonts w:ascii="PT Astra Serif" w:hAnsi="PT Astra Serif" w:cs="PT Astra Serif"/>
                <w:sz w:val="24"/>
                <w:szCs w:val="24"/>
                <w:u w:val="single"/>
              </w:rPr>
            </w:r>
            <w:r/>
          </w:p>
          <w:p>
            <w:pPr>
              <w:ind w:left="0" w:right="0" w:firstLine="0"/>
              <w:jc w:val="both"/>
              <w:spacing w:before="0" w:beforeAutospacing="0" w:after="0"/>
              <w:shd w:val="clear" w:color="ffffff" w:fill="ffffff"/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</w:rPr>
              <w:t xml:space="preserve">1 станция «Думалки»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before="0" w:beforeAutospacing="0" w:after="0"/>
              <w:shd w:val="clear" w:color="ffffff" w:fill="ffffff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</w:rPr>
            </w: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</w:rPr>
              <w:t xml:space="preserve">2 станция «Все что есть у меня»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</w:rPr>
              <w:t xml:space="preserve">3 станция «Все обо всем»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</w:rPr>
              <w:t xml:space="preserve">4 станция «Семейная кулинария»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</w:rPr>
            </w: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</w:rPr>
              <w:t xml:space="preserve">5 станция:  «Гляделки»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</w:rPr>
            </w: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</w:rPr>
              <w:t xml:space="preserve">6 станция:  «Селфи – все вместе»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  <w:highlight w:val="none"/>
              </w:rPr>
              <w:t xml:space="preserve">3. Рефлексия</w:t>
            </w:r>
            <w:r>
              <w:rPr>
                <w:rFonts w:ascii="PT Astra Serif" w:hAnsi="PT Astra Serif" w:eastAsia="Times New Roman" w:cs="PT Astra Serif"/>
                <w:color w:val="111115"/>
                <w:sz w:val="24"/>
                <w:szCs w:val="24"/>
                <w:highlight w:val="none"/>
              </w:rPr>
            </w:r>
            <w:r/>
          </w:p>
          <w:p>
            <w:pPr>
              <w:ind w:left="0" w:right="68" w:firstLine="0"/>
              <w:jc w:val="both"/>
              <w:spacing w:line="256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4. Пикник.Фотосессия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2578" w:type="dxa"/>
            <w:vMerge w:val="restart"/>
            <w:textDirection w:val="lrTb"/>
            <w:noWrap w:val="false"/>
          </w:tcPr>
          <w:p>
            <w:pPr>
              <w:jc w:val="both"/>
              <w:spacing w:line="256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Маршрут для команд, карточки с заданиями,ручки, фломастер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, спортивный инвентарь, продуктовый набор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Семьи СОП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pStyle w:val="868"/>
              <w:numPr>
                <w:ilvl w:val="0"/>
                <w:numId w:val="9"/>
              </w:numPr>
              <w:jc w:val="center"/>
              <w:spacing w:line="256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line="256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Дискуссия  «Бить или любить»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585" w:type="dxa"/>
            <w:vMerge w:val="restart"/>
            <w:textDirection w:val="lrTb"/>
            <w:noWrap w:val="false"/>
          </w:tcPr>
          <w:p>
            <w:pPr>
              <w:jc w:val="both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Сформировать понятиях о методах воспитания, разобраться какой из методов нужен в воспитании детей, отстоять свою точку зрения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4051" w:type="dxa"/>
            <w:vMerge w:val="restart"/>
            <w:textDirection w:val="lrTb"/>
            <w:noWrap w:val="false"/>
          </w:tcPr>
          <w:p>
            <w:pPr>
              <w:pStyle w:val="868"/>
              <w:numPr>
                <w:ilvl w:val="0"/>
                <w:numId w:val="8"/>
              </w:numPr>
              <w:ind w:left="0" w:right="0" w:firstLine="0"/>
              <w:jc w:val="both"/>
              <w:shd w:val="clear" w:color="auto" w:fill="ffffff"/>
            </w:pPr>
            <w:r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</w:rPr>
              <w:t xml:space="preserve">Приветствие </w:t>
            </w:r>
            <w:r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pStyle w:val="868"/>
              <w:numPr>
                <w:ilvl w:val="0"/>
                <w:numId w:val="8"/>
              </w:numPr>
              <w:ind w:left="0" w:right="0" w:firstLine="0"/>
              <w:jc w:val="both"/>
              <w:shd w:val="clear" w:color="auto" w:fill="ffffff"/>
            </w:pPr>
            <w:r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</w:rPr>
              <w:t xml:space="preserve">Упражнение на раскрепощение </w:t>
            </w:r>
            <w:r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pStyle w:val="868"/>
              <w:numPr>
                <w:ilvl w:val="0"/>
                <w:numId w:val="8"/>
              </w:numPr>
              <w:ind w:left="0" w:right="0" w:firstLine="0"/>
              <w:jc w:val="both"/>
              <w:shd w:val="clear" w:color="auto" w:fill="ffffff"/>
            </w:pPr>
            <w:r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</w:rPr>
              <w:t xml:space="preserve">Просмотр видеоролика</w:t>
            </w:r>
            <w:r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pStyle w:val="868"/>
              <w:numPr>
                <w:ilvl w:val="0"/>
                <w:numId w:val="8"/>
              </w:numPr>
              <w:ind w:left="0" w:right="0" w:firstLine="0"/>
              <w:jc w:val="both"/>
              <w:shd w:val="clear" w:color="auto" w:fill="ffffff"/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</w:rPr>
              <w:t xml:space="preserve">Дискуссия</w:t>
            </w:r>
            <w:r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pStyle w:val="868"/>
              <w:numPr>
                <w:ilvl w:val="0"/>
                <w:numId w:val="8"/>
              </w:numPr>
              <w:ind w:left="0" w:right="0" w:firstLine="0"/>
              <w:jc w:val="both"/>
              <w:shd w:val="clear" w:color="auto" w:fill="ffffff"/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</w:rPr>
              <w:t xml:space="preserve">Рефлексия </w:t>
            </w:r>
            <w:r/>
          </w:p>
          <w:p>
            <w:pPr>
              <w:pStyle w:val="868"/>
              <w:numPr>
                <w:ilvl w:val="0"/>
                <w:numId w:val="8"/>
              </w:numPr>
              <w:ind w:left="0" w:right="0" w:firstLine="0"/>
              <w:jc w:val="both"/>
              <w:spacing w:line="256" w:lineRule="auto"/>
              <w:rPr>
                <w:rFonts w:ascii="PT Astra Serif" w:hAnsi="PT Astra Serif" w:eastAsia="Times New Roman"/>
                <w:color w:val="000000" w:themeColor="text1"/>
              </w:rPr>
            </w:pPr>
            <w:r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</w:rPr>
              <w:t xml:space="preserve">Заключение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57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Проектор; Ноутбук; Акустическая система;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both"/>
              <w:spacing w:line="256" w:lineRule="auto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 w:eastAsia="Times New Roman" w:cs="Helvetica"/>
                <w:color w:val="000000" w:themeColor="text1"/>
                <w:sz w:val="24"/>
                <w:szCs w:val="24"/>
              </w:rPr>
              <w:t xml:space="preserve">листы бумаги, цветные карандаши, фломастеры, ручки, магниты.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pStyle w:val="877"/>
              <w:jc w:val="center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Семьи СОП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pStyle w:val="868"/>
              <w:numPr>
                <w:ilvl w:val="0"/>
                <w:numId w:val="9"/>
              </w:numPr>
              <w:jc w:val="center"/>
              <w:spacing w:line="256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line="256" w:lineRule="auto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«Дистанционные способы организации досуга с пользой» </w:t>
            </w:r>
            <w:r>
              <w:rPr>
                <w:highlight w:val="white"/>
              </w:rPr>
            </w:r>
            <w:r/>
          </w:p>
        </w:tc>
        <w:tc>
          <w:tcPr>
            <w:tcW w:w="2585" w:type="dxa"/>
            <w:vMerge w:val="restart"/>
            <w:textDirection w:val="lrTb"/>
            <w:noWrap w:val="false"/>
          </w:tcPr>
          <w:p>
            <w:pPr>
              <w:jc w:val="both"/>
              <w:spacing w:line="256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Просвещение родителей, об особенностях, специфике и принципах правильно организованного свободного времени у ребёнка.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</w:tc>
        <w:tc>
          <w:tcPr>
            <w:tcW w:w="4051" w:type="dxa"/>
            <w:vMerge w:val="restart"/>
            <w:textDirection w:val="lrTb"/>
            <w:noWrap w:val="false"/>
          </w:tcPr>
          <w:p>
            <w:pPr>
              <w:ind w:left="0" w:right="68" w:firstLine="0"/>
              <w:jc w:val="both"/>
              <w:spacing w:line="256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1.Вводная часть: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line="256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Приветствие, погружение в тему занятия с помощью викторины.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line="256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2. Практическая часть: разбор методов и вариантов дистанционного ресурса, для проведения досуга у детей.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line="256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3. Заключительная часть: просмотр видео-ролика, про пользу интернет ресурсов в развитии детей.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PT Astra Serif" w:hAnsi="PT Astra Serif" w:cs="PT Astra Serif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Times New Roman" w:cs="PT Astra Serif"/>
                <w:color w:val="000000" w:themeColor="text1"/>
                <w:sz w:val="24"/>
                <w:szCs w:val="24"/>
                <w:highlight w:val="none"/>
              </w:rPr>
              <w:t xml:space="preserve">Рефлексия.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/>
          </w:p>
        </w:tc>
        <w:tc>
          <w:tcPr>
            <w:tcW w:w="257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Проектор; Ноутбук; Акустическая система;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jc w:val="both"/>
              <w:spacing w:line="256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color w:val="000000" w:themeColor="text1"/>
                <w:sz w:val="24"/>
                <w:szCs w:val="24"/>
              </w:rPr>
              <w:t xml:space="preserve">листы бумаги, цветные карандаши, фломастеры, ручки, магниты.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Семьи СОП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9"/>
              </w:numPr>
              <w:jc w:val="left"/>
              <w:spacing w:line="256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Мероприятие с элементами тренинга «Детская манипуляция или как устанавливать запреты»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Способствование улучшению детско-родительских отношений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развитие представлений о причинах и способах предупреждения детской манипуляции,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формирование навыков эффективного взаимодействия между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родителем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и ребенком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4051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14"/>
              </w:numPr>
              <w:jc w:val="both"/>
              <w:spacing w:before="30" w:beforeAutospacing="0" w:after="30" w:afterAutospacing="0"/>
              <w:shd w:val="clear" w:color="auto" w:fill="ffff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Приветствие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numPr>
                <w:ilvl w:val="0"/>
                <w:numId w:val="14"/>
              </w:numPr>
              <w:jc w:val="both"/>
              <w:spacing w:before="30" w:beforeAutospacing="0" w:after="30" w:afterAutospacing="0"/>
              <w:shd w:val="clear" w:color="auto" w:fill="ffff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Упражнение «Я хороший родитель, потому что…».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numPr>
                <w:ilvl w:val="0"/>
                <w:numId w:val="14"/>
              </w:numPr>
              <w:jc w:val="both"/>
              <w:spacing w:before="30" w:beforeAutospacing="0" w:after="30" w:afterAutospacing="0"/>
              <w:shd w:val="clear" w:color="auto" w:fill="ffff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Разбор форм и видов детских манипуляций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numPr>
                <w:ilvl w:val="0"/>
                <w:numId w:val="14"/>
              </w:numPr>
              <w:jc w:val="both"/>
              <w:spacing w:before="30" w:beforeAutospacing="0" w:after="30" w:afterAutospacing="0"/>
              <w:shd w:val="clear" w:color="auto" w:fill="ffff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Разбор причин детских манипуляций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numPr>
                <w:ilvl w:val="0"/>
                <w:numId w:val="14"/>
              </w:numPr>
              <w:jc w:val="both"/>
              <w:spacing w:before="30" w:beforeAutospacing="0" w:after="30" w:afterAutospacing="0"/>
              <w:shd w:val="clear" w:color="auto" w:fill="ffff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Поиск выход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из ситуации на примерах детских манипуляций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numPr>
                <w:ilvl w:val="0"/>
                <w:numId w:val="14"/>
              </w:numPr>
              <w:jc w:val="both"/>
              <w:spacing w:before="30" w:beforeAutospacing="0" w:after="30" w:afterAutospacing="0"/>
              <w:shd w:val="clear" w:color="auto" w:fill="ffff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Знакомство с техниками воздействия на «манипулятора»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numPr>
                <w:ilvl w:val="0"/>
                <w:numId w:val="14"/>
              </w:numPr>
              <w:jc w:val="both"/>
              <w:spacing w:before="30" w:beforeAutospacing="0" w:after="30" w:afterAutospacing="0"/>
              <w:shd w:val="clear" w:color="auto" w:fill="ffff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Рефлексия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numPr>
                <w:ilvl w:val="0"/>
                <w:numId w:val="14"/>
              </w:numPr>
              <w:jc w:val="both"/>
              <w:spacing w:before="30" w:beforeAutospacing="0" w:after="30" w:afterAutospacing="0"/>
              <w:shd w:val="clear" w:color="auto" w:fill="ffff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Рекомендации.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</w:pP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Проектор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Ноутбук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77"/>
              <w:jc w:val="both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Карточки с ситуациями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77"/>
              <w:jc w:val="center"/>
              <w:spacing w:before="30" w:beforeAutospacing="0" w:after="30" w:afterAutospacing="0"/>
              <w:shd w:val="clear" w:color="auto" w:fill="ffff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Семьи СОП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9"/>
              </w:num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r>
              <w:t xml:space="preserve">Тренинг «Ромашка из ладошек»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5" w:type="dxa"/>
            <w:textDirection w:val="lrTb"/>
            <w:noWrap w:val="false"/>
          </w:tcPr>
          <w:p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Гармонизация эмоциональных связей в семье.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1" w:type="dxa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1. Оформление бэйджей;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2. Упражнение “Давайте поздороваемся”;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3. Упражнение “Коробка переживаний”;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4. Упражнение “Постукивающий массаж”;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 Упражнение “Круг общения”;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6. Упражнение “Художники-натуралисты”;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7. Упражнение “Пирамида”;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8. Упражнение “Ромашка из ладошек”;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9. Общая рефлексия.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8" w:type="dxa"/>
            <w:textDirection w:val="lrTb"/>
            <w:noWrap w:val="false"/>
          </w:tcPr>
          <w:p>
            <w:pPr>
              <w:shd w:val="nil" w:color="000000"/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исты бумаги формата А3, карандаши, фломастеры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заранее приготовленные карточки из плотной бумаги, булавки, фломастеры, скотч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/>
          </w:p>
          <w:p>
            <w:pP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Семьи СОП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9"/>
              </w:num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Конкурсно-игровая программа «Новогодний коктейль»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258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Укрепление института семьи, гармонизация детско-родительских отношений посредством игр и конкурсов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4051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12"/>
              </w:numPr>
              <w:ind w:left="0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Приветствие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68"/>
              <w:numPr>
                <w:ilvl w:val="0"/>
                <w:numId w:val="12"/>
              </w:numPr>
              <w:ind w:left="0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Вводная часть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  <w:p>
            <w:pPr>
              <w:pStyle w:val="868"/>
              <w:numPr>
                <w:ilvl w:val="0"/>
                <w:numId w:val="12"/>
              </w:numPr>
              <w:ind w:left="0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Тренинговое упражнение на сплочение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68"/>
              <w:numPr>
                <w:ilvl w:val="0"/>
                <w:numId w:val="12"/>
              </w:numPr>
              <w:ind w:left="0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 Конкурсы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68"/>
              <w:numPr>
                <w:ilvl w:val="0"/>
                <w:numId w:val="12"/>
              </w:numPr>
              <w:ind w:left="0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Поздравление от Деда Мороза и Снегурочки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  <w:p>
            <w:pPr>
              <w:pStyle w:val="868"/>
              <w:numPr>
                <w:ilvl w:val="0"/>
                <w:numId w:val="12"/>
              </w:numPr>
              <w:ind w:left="0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Фотосессия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  <w:p>
            <w:pPr>
              <w:pStyle w:val="868"/>
              <w:numPr>
                <w:ilvl w:val="0"/>
                <w:numId w:val="12"/>
              </w:numPr>
              <w:ind w:left="0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Рефлексия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  <w:p>
            <w:pPr>
              <w:pStyle w:val="868"/>
              <w:numPr>
                <w:ilvl w:val="0"/>
                <w:numId w:val="12"/>
              </w:numPr>
              <w:ind w:left="0" w:right="0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Чаепитие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Проектор, ноутбук, карточки с заданиями, ватмат, фломастеры, продуктовые наборы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Семьи СОП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dejavusans">
    <w:panose1 w:val="020B0603030804020204"/>
  </w:font>
  <w:font w:name="Liberation Sans">
    <w:panose1 w:val="020B0604020202020204"/>
  </w:font>
  <w:font w:name="PT Sans">
    <w:panose1 w:val="020B0503020203020204"/>
  </w:font>
  <w:font w:name="PT Sans Caption">
    <w:panose1 w:val="020B0603020203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3020203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3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9">
    <w:name w:val="Heading 1 Char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670">
    <w:name w:val="Heading 2 Char"/>
    <w:basedOn w:val="696"/>
    <w:link w:val="688"/>
    <w:uiPriority w:val="9"/>
    <w:rPr>
      <w:rFonts w:ascii="Arial" w:hAnsi="Arial" w:eastAsia="Arial" w:cs="Arial"/>
      <w:sz w:val="34"/>
    </w:rPr>
  </w:style>
  <w:style w:type="character" w:styleId="671">
    <w:name w:val="Heading 3 Char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672">
    <w:name w:val="Heading 4 Char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basedOn w:val="696"/>
    <w:link w:val="709"/>
    <w:uiPriority w:val="10"/>
    <w:rPr>
      <w:sz w:val="48"/>
      <w:szCs w:val="48"/>
    </w:rPr>
  </w:style>
  <w:style w:type="character" w:styleId="679">
    <w:name w:val="Subtitle Char"/>
    <w:basedOn w:val="696"/>
    <w:link w:val="711"/>
    <w:uiPriority w:val="11"/>
    <w:rPr>
      <w:sz w:val="24"/>
      <w:szCs w:val="24"/>
    </w:rPr>
  </w:style>
  <w:style w:type="character" w:styleId="680">
    <w:name w:val="Quote Char"/>
    <w:link w:val="713"/>
    <w:uiPriority w:val="29"/>
    <w:rPr>
      <w:i/>
    </w:rPr>
  </w:style>
  <w:style w:type="character" w:styleId="681">
    <w:name w:val="Intense Quote Char"/>
    <w:link w:val="715"/>
    <w:uiPriority w:val="30"/>
    <w:rPr>
      <w:i/>
    </w:rPr>
  </w:style>
  <w:style w:type="character" w:styleId="682">
    <w:name w:val="Header Char"/>
    <w:basedOn w:val="696"/>
    <w:link w:val="717"/>
    <w:uiPriority w:val="99"/>
  </w:style>
  <w:style w:type="character" w:styleId="683">
    <w:name w:val="Caption Char"/>
    <w:basedOn w:val="721"/>
    <w:link w:val="719"/>
    <w:uiPriority w:val="99"/>
  </w:style>
  <w:style w:type="character" w:styleId="684">
    <w:name w:val="Footnote Text Char"/>
    <w:link w:val="849"/>
    <w:uiPriority w:val="99"/>
    <w:rPr>
      <w:sz w:val="18"/>
    </w:rPr>
  </w:style>
  <w:style w:type="character" w:styleId="685">
    <w:name w:val="Endnote Text Char"/>
    <w:link w:val="852"/>
    <w:uiPriority w:val="99"/>
    <w:rPr>
      <w:sz w:val="20"/>
    </w:rPr>
  </w:style>
  <w:style w:type="paragraph" w:styleId="686" w:default="1">
    <w:name w:val="Normal"/>
    <w:qFormat/>
  </w:style>
  <w:style w:type="paragraph" w:styleId="687">
    <w:name w:val="Heading 1"/>
    <w:basedOn w:val="686"/>
    <w:next w:val="68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3">
    <w:name w:val="Heading 7"/>
    <w:basedOn w:val="686"/>
    <w:next w:val="686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4">
    <w:name w:val="Heading 8"/>
    <w:basedOn w:val="686"/>
    <w:next w:val="686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5">
    <w:name w:val="Heading 9"/>
    <w:basedOn w:val="686"/>
    <w:next w:val="68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  <w:pPr>
      <w:spacing w:after="0" w:line="240" w:lineRule="auto"/>
    </w:pPr>
  </w:style>
  <w:style w:type="paragraph" w:styleId="709">
    <w:name w:val="Title"/>
    <w:basedOn w:val="686"/>
    <w:next w:val="686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Заголовок Знак"/>
    <w:basedOn w:val="696"/>
    <w:link w:val="709"/>
    <w:uiPriority w:val="10"/>
    <w:rPr>
      <w:sz w:val="48"/>
      <w:szCs w:val="48"/>
    </w:rPr>
  </w:style>
  <w:style w:type="paragraph" w:styleId="711">
    <w:name w:val="Subtitle"/>
    <w:basedOn w:val="686"/>
    <w:next w:val="686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 w:customStyle="1">
    <w:name w:val="Подзаголовок Знак"/>
    <w:basedOn w:val="696"/>
    <w:link w:val="711"/>
    <w:uiPriority w:val="11"/>
    <w:rPr>
      <w:sz w:val="24"/>
      <w:szCs w:val="24"/>
    </w:rPr>
  </w:style>
  <w:style w:type="paragraph" w:styleId="713">
    <w:name w:val="Quote"/>
    <w:basedOn w:val="686"/>
    <w:next w:val="686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6"/>
    <w:next w:val="686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86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Верхний колонтитул Знак"/>
    <w:basedOn w:val="696"/>
    <w:link w:val="717"/>
    <w:uiPriority w:val="99"/>
  </w:style>
  <w:style w:type="paragraph" w:styleId="719">
    <w:name w:val="Footer"/>
    <w:basedOn w:val="686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 w:customStyle="1">
    <w:name w:val="Footer Char"/>
    <w:basedOn w:val="696"/>
    <w:uiPriority w:val="99"/>
  </w:style>
  <w:style w:type="paragraph" w:styleId="721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Нижний колонтитул Знак"/>
    <w:link w:val="719"/>
    <w:uiPriority w:val="99"/>
  </w:style>
  <w:style w:type="table" w:styleId="723" w:customStyle="1">
    <w:name w:val="Table Grid Light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563c1" w:themeColor="hyperlink"/>
      <w:u w:val="single"/>
    </w:rPr>
  </w:style>
  <w:style w:type="paragraph" w:styleId="849">
    <w:name w:val="footnote text"/>
    <w:basedOn w:val="68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basedOn w:val="696"/>
    <w:uiPriority w:val="99"/>
    <w:unhideWhenUsed/>
    <w:rPr>
      <w:vertAlign w:val="superscript"/>
    </w:rPr>
  </w:style>
  <w:style w:type="paragraph" w:styleId="852">
    <w:name w:val="endnote text"/>
    <w:basedOn w:val="68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696"/>
    <w:uiPriority w:val="99"/>
    <w:semiHidden/>
    <w:unhideWhenUsed/>
    <w:rPr>
      <w:vertAlign w:val="superscript"/>
    </w:rPr>
  </w:style>
  <w:style w:type="paragraph" w:styleId="855">
    <w:name w:val="toc 1"/>
    <w:basedOn w:val="686"/>
    <w:next w:val="686"/>
    <w:uiPriority w:val="39"/>
    <w:unhideWhenUsed/>
    <w:pPr>
      <w:spacing w:after="57"/>
    </w:pPr>
  </w:style>
  <w:style w:type="paragraph" w:styleId="856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57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58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59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60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61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62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63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86"/>
    <w:next w:val="686"/>
    <w:uiPriority w:val="99"/>
    <w:unhideWhenUsed/>
    <w:pPr>
      <w:spacing w:after="0"/>
    </w:pPr>
  </w:style>
  <w:style w:type="table" w:styleId="866">
    <w:name w:val="Table Grid"/>
    <w:basedOn w:val="69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>
    <w:name w:val="Normal (Web)"/>
    <w:basedOn w:val="68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>
    <w:name w:val="List Paragraph"/>
    <w:basedOn w:val="686"/>
    <w:uiPriority w:val="34"/>
    <w:qFormat/>
    <w:pPr>
      <w:contextualSpacing/>
      <w:ind w:left="720"/>
    </w:pPr>
  </w:style>
  <w:style w:type="paragraph" w:styleId="869" w:customStyle="1">
    <w:name w:val="Текстовый блок A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870" w:customStyle="1">
    <w:name w:val="Нет"/>
  </w:style>
  <w:style w:type="paragraph" w:styleId="871">
    <w:name w:val="Balloon Text"/>
    <w:basedOn w:val="686"/>
    <w:link w:val="87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basedOn w:val="696"/>
    <w:link w:val="871"/>
    <w:uiPriority w:val="99"/>
    <w:semiHidden/>
    <w:rPr>
      <w:rFonts w:ascii="Segoe UI" w:hAnsi="Segoe UI" w:cs="Segoe UI"/>
      <w:sz w:val="18"/>
      <w:szCs w:val="18"/>
    </w:rPr>
  </w:style>
  <w:style w:type="character" w:styleId="873" w:customStyle="1">
    <w:name w:val="c2"/>
    <w:basedOn w:val="696"/>
  </w:style>
  <w:style w:type="paragraph" w:styleId="874" w:customStyle="1">
    <w:name w:val="c21"/>
    <w:basedOn w:val="6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5" w:customStyle="1">
    <w:name w:val="c23"/>
    <w:basedOn w:val="696"/>
  </w:style>
  <w:style w:type="paragraph" w:styleId="876" w:customStyle="1">
    <w:name w:val="c7"/>
    <w:basedOn w:val="6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 w:customStyle="1">
    <w:name w:val="c4"/>
    <w:basedOn w:val="6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revision>14</cp:revision>
  <dcterms:created xsi:type="dcterms:W3CDTF">2022-12-15T11:23:00Z</dcterms:created>
  <dcterms:modified xsi:type="dcterms:W3CDTF">2023-11-02T11:27:17Z</dcterms:modified>
</cp:coreProperties>
</file>