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Результаты социологического опроса,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проведенного среди 150 учащихся Западнодвинского муниципального округа Тверской области в период с 01.12.20г. по 15.1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.20г.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(выборочные вопросы)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3879850" cy="234315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3886200" cy="227330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394200" cy="252730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572000" cy="2743200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772025" cy="3048000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773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8253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825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800" spc="-1" strike="noStrike">
                <a:solidFill>
                  <a:srgbClr val="000000"/>
                </a:solidFill>
                <a:latin typeface="Calibri"/>
              </a:rPr>
              <a:t>1. Как часто вы занимаетесь туризмом?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Ряд1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25"/>
          <c:dPt>
            <c:idx val="0"/>
            <c:explosion val="25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explosion val="25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explosion val="25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explosion val="25"/>
            <c:spPr>
              <a:solidFill>
                <a:srgbClr val="8064a2"/>
              </a:solidFill>
              <a:ln w="0">
                <a:noFill/>
              </a:ln>
            </c:spPr>
          </c:dPt>
          <c:dPt>
            <c:idx val="4"/>
            <c:explosion val="25"/>
            <c:spPr>
              <a:solidFill>
                <a:srgbClr val="4bacc6"/>
              </a:solidFill>
              <a:ln w="0">
                <a:noFill/>
              </a:ln>
            </c:spPr>
          </c:dPt>
          <c:dLbls>
            <c:dLbl>
              <c:idx val="0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1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2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3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4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eparator>
</c:separator>
            <c:showLeaderLines val="0"/>
          </c:dLbls>
          <c:cat>
            <c:strRef>
              <c:f>categories</c:f>
              <c:strCache>
                <c:ptCount val="5"/>
                <c:pt idx="0">
                  <c:v>  Всегда</c:v>
                </c:pt>
                <c:pt idx="1">
                  <c:v>Часто</c:v>
                </c:pt>
                <c:pt idx="2">
                  <c:v> Иногда </c:v>
                </c:pt>
                <c:pt idx="3">
                  <c:v> Редко</c:v>
                </c:pt>
                <c:pt idx="4">
                  <c:v>Никогда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1</c:v>
                </c:pt>
                <c:pt idx="1">
                  <c:v>11</c:v>
                </c:pt>
                <c:pt idx="2">
                  <c:v>23</c:v>
                </c:pt>
                <c:pt idx="3">
                  <c:v>45</c:v>
                </c:pt>
                <c:pt idx="4">
                  <c:v>20</c:v>
                </c:pt>
              </c:numCache>
            </c:numRef>
          </c:val>
        </c:ser>
      </c:pie3DChart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800" spc="-1" strike="noStrike">
                <a:solidFill>
                  <a:srgbClr val="000000"/>
                </a:solidFill>
                <a:latin typeface="Calibri"/>
              </a:rPr>
              <a:t>3. С кем вы предпочитаете путешествовать?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Ряд1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25"/>
          <c:dPt>
            <c:idx val="0"/>
            <c:explosion val="25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explosion val="25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explosion val="25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explosion val="25"/>
            <c:spPr>
              <a:solidFill>
                <a:srgbClr val="8064a2"/>
              </a:solidFill>
              <a:ln w="0">
                <a:noFill/>
              </a:ln>
            </c:spPr>
          </c:dPt>
          <c:dLbls>
            <c:dLbl>
              <c:idx val="0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1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2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3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eparator>
</c:separator>
            <c:showLeaderLines val="0"/>
          </c:dLbls>
          <c:cat>
            <c:strRef>
              <c:f>categories</c:f>
              <c:strCache>
                <c:ptCount val="4"/>
                <c:pt idx="0">
                  <c:v>Один</c:v>
                </c:pt>
                <c:pt idx="1">
                  <c:v>С друзьями</c:v>
                </c:pt>
                <c:pt idx="2">
                  <c:v>С семьёй</c:v>
                </c:pt>
                <c:pt idx="3">
                  <c:v>С туристической группой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15</c:v>
                </c:pt>
                <c:pt idx="1">
                  <c:v>73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</c:pie3DChart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800" spc="-1" strike="noStrike">
                <a:solidFill>
                  <a:srgbClr val="000000"/>
                </a:solidFill>
                <a:latin typeface="Calibri"/>
              </a:rPr>
              <a:t>4. Виды активного отдыха, которые вы предпочитаете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6"/>
                <c:pt idx="0">
                  <c:v>Однодневные походы </c:v>
                </c:pt>
                <c:pt idx="1">
                  <c:v>Лыжный туризм</c:v>
                </c:pt>
                <c:pt idx="2">
                  <c:v>Велотуризм</c:v>
                </c:pt>
                <c:pt idx="3">
                  <c:v> Занятия спортом</c:v>
                </c:pt>
                <c:pt idx="4">
                  <c:v>Пешие прогулки</c:v>
                </c:pt>
                <c:pt idx="5">
                  <c:v>Другое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54</c:v>
                </c:pt>
                <c:pt idx="1">
                  <c:v>17</c:v>
                </c:pt>
                <c:pt idx="2">
                  <c:v>74</c:v>
                </c:pt>
                <c:pt idx="3">
                  <c:v>81</c:v>
                </c:pt>
                <c:pt idx="4">
                  <c:v>45</c:v>
                </c:pt>
                <c:pt idx="5">
                  <c:v>9</c:v>
                </c:pt>
              </c:numCache>
            </c:numRef>
          </c:val>
        </c:ser>
        <c:gapWidth val="150"/>
        <c:overlap val="0"/>
        <c:axId val="15813671"/>
        <c:axId val="35144644"/>
      </c:barChart>
      <c:catAx>
        <c:axId val="15813671"/>
        <c:scaling>
          <c:orientation val="minMax"/>
        </c:scaling>
        <c:delete val="0"/>
        <c:axPos val="b"/>
        <c:numFmt formatCode="[$-419]dd/mm/yyyy" sourceLinked="0"/>
        <c:majorTickMark val="none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35144644"/>
        <c:crosses val="autoZero"/>
        <c:auto val="1"/>
        <c:lblAlgn val="ctr"/>
        <c:lblOffset val="100"/>
        <c:noMultiLvlLbl val="0"/>
      </c:catAx>
      <c:valAx>
        <c:axId val="35144644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15813671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800" spc="-1" strike="noStrike">
                <a:solidFill>
                  <a:srgbClr val="000000"/>
                </a:solidFill>
                <a:latin typeface="Calibri"/>
              </a:rPr>
              <a:t>8. Насколько хорошо развит молодежный туризм в МО?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Ряд1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25"/>
          <c:dPt>
            <c:idx val="0"/>
            <c:explosion val="25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explosion val="25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explosion val="25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explosion val="25"/>
            <c:spPr>
              <a:solidFill>
                <a:srgbClr val="8064a2"/>
              </a:solidFill>
              <a:ln w="0">
                <a:noFill/>
              </a:ln>
            </c:spPr>
          </c:dPt>
          <c:dLbls>
            <c:dLbl>
              <c:idx val="0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1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2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3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eparator>
</c:separator>
            <c:showLeaderLines val="0"/>
          </c:dLbls>
          <c:cat>
            <c:strRef>
              <c:f>categories</c:f>
              <c:strCache>
                <c:ptCount val="4"/>
                <c:pt idx="0">
                  <c:v> На высоком уровне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  Не развит совсем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41</c:v>
                </c:pt>
                <c:pt idx="3">
                  <c:v>48</c:v>
                </c:pt>
              </c:numCache>
            </c:numRef>
          </c:val>
        </c:ser>
      </c:pie3DChart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800" spc="-1" strike="noStrike">
                <a:solidFill>
                  <a:srgbClr val="000000"/>
                </a:solidFill>
                <a:latin typeface="Calibri"/>
              </a:rPr>
              <a:t>9. Что препятствует развитию туризма в МО?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Отсутствие инфраструктуры</c:v>
                </c:pt>
                <c:pt idx="1">
                  <c:v> Недостаток информации о туристических маршрутах</c:v>
                </c:pt>
                <c:pt idx="2">
                  <c:v>Отсутствие интересных мероприятий</c:v>
                </c:pt>
                <c:pt idx="3">
                  <c:v>Отсутствие туристических маршрутов</c:v>
                </c:pt>
                <c:pt idx="4">
                  <c:v>Отсутствие секций туристской направленности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44</c:v>
                </c:pt>
                <c:pt idx="1">
                  <c:v>51</c:v>
                </c:pt>
                <c:pt idx="2">
                  <c:v>68</c:v>
                </c:pt>
                <c:pt idx="3">
                  <c:v>61</c:v>
                </c:pt>
                <c:pt idx="4">
                  <c:v>26</c:v>
                </c:pt>
              </c:numCache>
            </c:numRef>
          </c:val>
        </c:ser>
        <c:gapWidth val="150"/>
        <c:overlap val="0"/>
        <c:axId val="31868284"/>
        <c:axId val="49167125"/>
      </c:barChart>
      <c:catAx>
        <c:axId val="31868284"/>
        <c:scaling>
          <c:orientation val="minMax"/>
        </c:scaling>
        <c:delete val="0"/>
        <c:axPos val="b"/>
        <c:numFmt formatCode="[$-419]dd/mm/yyyy" sourceLinked="0"/>
        <c:majorTickMark val="none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9167125"/>
        <c:crosses val="autoZero"/>
        <c:auto val="1"/>
        <c:lblAlgn val="ctr"/>
        <c:lblOffset val="100"/>
        <c:noMultiLvlLbl val="0"/>
      </c:catAx>
      <c:valAx>
        <c:axId val="49167125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31868284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LibreOffice/7.2.7.2$Linux_X86_64 LibreOffice_project/20$Build-2</Application>
  <AppVersion>15.0000</AppVersion>
  <Pages>2</Pages>
  <Words>20</Words>
  <Characters>161</Characters>
  <CharactersWithSpaces>178</CharactersWithSpaces>
  <Paragraphs>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2023-02-09T19:56:00Z</dcterms:created>
  <dc:creator>1</dc:creator>
  <dc:description/>
  <dc:language>ru-RU</dc:language>
  <cp:lastModifiedBy/>
  <dcterms:modified xsi:type="dcterms:W3CDTF">2023-02-10T17:52:16Z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