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Техническое задание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для административных округов 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Москвы по проведению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Общегородского фестиваля скандинавской ходьбы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 распределенном формате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Планируемая дата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площадок в одиннадцати административных округах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Москвы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Оборудование и оформление трассы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протяженностью не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пригодной для проведения соревнований по скандинавской ходьбе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ограждение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стартовая и финишная арки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флаги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фотозоны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пунктов регистрации участников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сцены для проведения церемоний открытия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закрытия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награждения победителей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выступления приглашенных артистов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Звуковое оборудование сцены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звуковое сопровождение на трассе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 ведущего мероприятия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выступления музыкальных коллективов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питьевого режима для участников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работы профессионального фотографа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работы профессиональной съемочной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оператор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корреспондент для создания итогового видеоролика и возможности выхода в прямой эфир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Обеспечение участников соревнований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300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500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человек с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QR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кодом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«стартовым пакетом»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который входят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нагрудный номер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манишка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футболка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кепка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бутылка воды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(0,5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работы судейской бригады для определения победителей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 округе принято решение проводить массовый заход в формате соревнования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Обеспечение производства комплекта наград победителям медаль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кубок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диплом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комплектов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комплекта для мужчин 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комплекта для женщин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 округе принято решение проводить массовый заход в формате соревнования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работы медицинской бригады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Монтаж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демонтаж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логистика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уборка территории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необходимости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Для информации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мая отмечается Всемирный день скандинавской ходьбы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проекте «Московское долголетие» скандинавская ходьба традиционно является одним из самых популярных направлений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занимающихся на улице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выбирают занятия скандинавской ходьбой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эпидемиологической ситуации Фестиваль скандинавской ходьбы планируется провести в распределенном формате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массовый заход стартует единовременно во всех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административных округах города Москвы и транслируется на </w:t>
      </w:r>
      <w:r>
        <w:rPr>
          <w:rFonts w:ascii="Times New Roman" w:hAnsi="Times New Roman"/>
          <w:sz w:val="28"/>
          <w:szCs w:val="28"/>
          <w:rtl w:val="0"/>
          <w:lang w:val="en-US"/>
        </w:rPr>
        <w:t>YouTube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канале «Московское долголетие»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заходе могут принимать участие участники проекта «Московское долголетие»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все заинтересованные жители города Москвы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соответствующие возрастным критериям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женщины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55+,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мужчины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60+.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Брендбук мероприятия направлен в рабочем порядке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