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FB" w:rsidRPr="00FE09F6" w:rsidRDefault="00B045FB" w:rsidP="00B045FB">
      <w:pPr>
        <w:pStyle w:val="a3"/>
        <w:rPr>
          <w:b/>
        </w:rPr>
      </w:pPr>
      <w:r w:rsidRPr="00FE09F6">
        <w:rPr>
          <w:b/>
        </w:rPr>
        <w:t xml:space="preserve">Влияние систем виртуальной реальности </w:t>
      </w:r>
      <w:r w:rsidR="00E71FD3">
        <w:rPr>
          <w:b/>
        </w:rPr>
        <w:t>(VR) на высокий уровень стресса</w:t>
      </w:r>
      <w:r w:rsidRPr="00FE09F6">
        <w:rPr>
          <w:b/>
        </w:rPr>
        <w:t>, синдром хронической усталости, тревожные и двигательно-</w:t>
      </w:r>
      <w:proofErr w:type="spellStart"/>
      <w:r w:rsidRPr="00FE09F6">
        <w:rPr>
          <w:b/>
        </w:rPr>
        <w:t>координаторные</w:t>
      </w:r>
      <w:proofErr w:type="spellEnd"/>
      <w:r w:rsidRPr="00FE09F6">
        <w:rPr>
          <w:b/>
        </w:rPr>
        <w:t xml:space="preserve"> </w:t>
      </w:r>
      <w:proofErr w:type="gramStart"/>
      <w:r w:rsidRPr="00FE09F6">
        <w:rPr>
          <w:b/>
        </w:rPr>
        <w:t>расстройства  в</w:t>
      </w:r>
      <w:proofErr w:type="gramEnd"/>
      <w:r w:rsidRPr="00FE09F6">
        <w:rPr>
          <w:b/>
        </w:rPr>
        <w:t xml:space="preserve"> группах активного долголетия.</w:t>
      </w:r>
    </w:p>
    <w:p w:rsidR="00B045FB" w:rsidRDefault="00C632AF" w:rsidP="00096A0F">
      <w:pPr>
        <w:spacing w:line="240" w:lineRule="auto"/>
        <w:rPr>
          <w:rFonts w:ascii="Times New Roman" w:hAnsi="Times New Roman" w:cs="Times New Roman"/>
          <w:lang w:eastAsia="ru-RU"/>
        </w:rPr>
      </w:pPr>
      <w:r>
        <w:rPr>
          <w:vertAlign w:val="superscript"/>
          <w:lang w:eastAsia="ru-RU"/>
        </w:rPr>
        <w:t>1,</w:t>
      </w:r>
      <w:proofErr w:type="gramStart"/>
      <w:r>
        <w:rPr>
          <w:vertAlign w:val="superscript"/>
          <w:lang w:eastAsia="ru-RU"/>
        </w:rPr>
        <w:t>2,</w:t>
      </w:r>
      <w:r w:rsidR="00B045FB">
        <w:rPr>
          <w:lang w:eastAsia="ru-RU"/>
        </w:rPr>
        <w:t>К</w:t>
      </w:r>
      <w:r w:rsidR="00B045FB" w:rsidRPr="00752A49">
        <w:rPr>
          <w:rFonts w:ascii="Times New Roman" w:hAnsi="Times New Roman" w:cs="Times New Roman"/>
          <w:lang w:eastAsia="ru-RU"/>
        </w:rPr>
        <w:t>.А.</w:t>
      </w:r>
      <w:proofErr w:type="gramEnd"/>
      <w:r w:rsidR="00B045FB" w:rsidRPr="00752A49">
        <w:rPr>
          <w:rFonts w:ascii="Times New Roman" w:hAnsi="Times New Roman" w:cs="Times New Roman"/>
          <w:lang w:eastAsia="ru-RU"/>
        </w:rPr>
        <w:t xml:space="preserve"> Шагаева., </w:t>
      </w:r>
      <w:r>
        <w:rPr>
          <w:rFonts w:ascii="Times New Roman" w:hAnsi="Times New Roman" w:cs="Times New Roman"/>
          <w:vertAlign w:val="superscript"/>
          <w:lang w:eastAsia="ru-RU"/>
        </w:rPr>
        <w:t>3</w:t>
      </w:r>
      <w:r w:rsidR="00B045FB" w:rsidRPr="00752A49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proofErr w:type="spellStart"/>
      <w:r w:rsidR="00B045FB" w:rsidRPr="00752A49">
        <w:rPr>
          <w:rFonts w:ascii="Times New Roman" w:hAnsi="Times New Roman" w:cs="Times New Roman"/>
          <w:lang w:eastAsia="ru-RU"/>
        </w:rPr>
        <w:t>А.А.Шагаева</w:t>
      </w:r>
      <w:proofErr w:type="spellEnd"/>
      <w:r w:rsidR="00B045FB" w:rsidRPr="00752A49">
        <w:rPr>
          <w:rFonts w:ascii="Times New Roman" w:hAnsi="Times New Roman" w:cs="Times New Roman"/>
          <w:lang w:eastAsia="ru-RU"/>
        </w:rPr>
        <w:t>.,</w:t>
      </w:r>
      <w:r w:rsidR="00ED2718">
        <w:rPr>
          <w:rFonts w:ascii="Times New Roman" w:hAnsi="Times New Roman" w:cs="Times New Roman"/>
          <w:vertAlign w:val="superscript"/>
          <w:lang w:eastAsia="ru-RU"/>
        </w:rPr>
        <w:t xml:space="preserve"> 4</w:t>
      </w:r>
      <w:r w:rsidR="00B045FB" w:rsidRPr="00752A49">
        <w:rPr>
          <w:rFonts w:ascii="Times New Roman" w:hAnsi="Times New Roman" w:cs="Times New Roman"/>
          <w:lang w:eastAsia="ru-RU"/>
        </w:rPr>
        <w:t>С.А. Шагаев.</w:t>
      </w:r>
      <w:r w:rsidR="00096A0F">
        <w:rPr>
          <w:rFonts w:ascii="Times New Roman" w:hAnsi="Times New Roman" w:cs="Times New Roman"/>
          <w:lang w:eastAsia="ru-RU"/>
        </w:rPr>
        <w:t>,</w:t>
      </w:r>
      <w:r w:rsidR="00ED2718">
        <w:rPr>
          <w:rFonts w:ascii="Times New Roman" w:hAnsi="Times New Roman" w:cs="Times New Roman"/>
          <w:vertAlign w:val="superscript"/>
          <w:lang w:eastAsia="ru-RU"/>
        </w:rPr>
        <w:t>5</w:t>
      </w:r>
      <w:r w:rsidR="00B045FB" w:rsidRPr="00752A49">
        <w:rPr>
          <w:rFonts w:ascii="Times New Roman" w:hAnsi="Times New Roman" w:cs="Times New Roman"/>
          <w:lang w:eastAsia="ru-RU"/>
        </w:rPr>
        <w:t>Р.М. Шагаева.</w:t>
      </w:r>
      <w:r w:rsidR="00096A0F">
        <w:rPr>
          <w:rFonts w:ascii="Times New Roman" w:hAnsi="Times New Roman" w:cs="Times New Roman"/>
          <w:lang w:eastAsia="ru-RU"/>
        </w:rPr>
        <w:t>,</w:t>
      </w:r>
      <w:r w:rsidR="00ED2718">
        <w:rPr>
          <w:rFonts w:ascii="Times New Roman" w:hAnsi="Times New Roman" w:cs="Times New Roman"/>
          <w:vertAlign w:val="superscript"/>
          <w:lang w:eastAsia="ru-RU"/>
        </w:rPr>
        <w:t xml:space="preserve"> </w:t>
      </w:r>
      <w:r w:rsidR="00096A0F">
        <w:rPr>
          <w:rFonts w:ascii="Times New Roman" w:hAnsi="Times New Roman" w:cs="Times New Roman"/>
          <w:vertAlign w:val="superscript"/>
          <w:lang w:eastAsia="ru-RU"/>
        </w:rPr>
        <w:t>5,</w:t>
      </w:r>
      <w:r w:rsidR="00ED2718">
        <w:rPr>
          <w:rFonts w:ascii="Times New Roman" w:hAnsi="Times New Roman" w:cs="Times New Roman"/>
          <w:vertAlign w:val="superscript"/>
          <w:lang w:eastAsia="ru-RU"/>
        </w:rPr>
        <w:t>6</w:t>
      </w:r>
      <w:r w:rsidR="00B045FB" w:rsidRPr="00752A49">
        <w:rPr>
          <w:rFonts w:ascii="Times New Roman" w:hAnsi="Times New Roman" w:cs="Times New Roman"/>
          <w:lang w:eastAsia="ru-RU"/>
        </w:rPr>
        <w:t>С.М. Шагаев.</w:t>
      </w:r>
      <w:r w:rsidR="00096A0F">
        <w:rPr>
          <w:rFonts w:ascii="Times New Roman" w:hAnsi="Times New Roman" w:cs="Times New Roman"/>
          <w:lang w:eastAsia="ru-RU"/>
        </w:rPr>
        <w:t>,</w:t>
      </w:r>
      <w:r w:rsidR="00096A0F">
        <w:rPr>
          <w:rFonts w:ascii="Times New Roman" w:hAnsi="Times New Roman" w:cs="Times New Roman"/>
          <w:vertAlign w:val="superscript"/>
          <w:lang w:eastAsia="ru-RU"/>
        </w:rPr>
        <w:t xml:space="preserve"> 6,7</w:t>
      </w:r>
      <w:r w:rsidR="00B045FB" w:rsidRPr="00752A49">
        <w:rPr>
          <w:rFonts w:ascii="Times New Roman" w:hAnsi="Times New Roman" w:cs="Times New Roman"/>
          <w:lang w:eastAsia="ru-RU"/>
        </w:rPr>
        <w:t>А.С. Шагаев.</w:t>
      </w:r>
    </w:p>
    <w:p w:rsidR="00C632AF" w:rsidRDefault="00096A0F" w:rsidP="00096A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="00C632AF"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</w:t>
      </w:r>
      <w:r w:rsidR="00C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федра </w:t>
      </w:r>
      <w:proofErr w:type="spellStart"/>
      <w:r w:rsidR="00C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дерматовенерологии</w:t>
      </w:r>
      <w:proofErr w:type="spellEnd"/>
      <w:r w:rsidR="00C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="00C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космитологии</w:t>
      </w:r>
      <w:proofErr w:type="spellEnd"/>
      <w:r w:rsidR="00C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C632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РУДН.,</w:t>
      </w:r>
      <w:proofErr w:type="gramEnd"/>
      <w:r w:rsidR="00C632AF"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Москва., Россия.</w:t>
      </w:r>
    </w:p>
    <w:p w:rsidR="00C632AF" w:rsidRDefault="00C632AF" w:rsidP="00096A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Министерство здравоохранения г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Москвы</w:t>
      </w:r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Государственное бюджетное учр</w:t>
      </w:r>
      <w:r w:rsidR="005A03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еждение здравоохранения поликли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ника №209</w:t>
      </w:r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2718" w:rsidRDefault="00ED2718" w:rsidP="00096A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Финансовый университет при Правительстве Российской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Федерации.,</w:t>
      </w:r>
      <w:proofErr w:type="gramEnd"/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Москва., Россия.</w:t>
      </w:r>
    </w:p>
    <w:p w:rsidR="00ED2718" w:rsidRDefault="00ED2718" w:rsidP="00096A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Образовательное учреждение школа №2</w:t>
      </w:r>
      <w:r w:rsidRPr="00ED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Пущино.</w:t>
      </w:r>
      <w:r w:rsidRPr="00ED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Московская область</w:t>
      </w:r>
      <w:r w:rsidRPr="00ED2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., Россия.</w:t>
      </w:r>
    </w:p>
    <w:p w:rsidR="00ED2718" w:rsidRPr="006F2E7F" w:rsidRDefault="00ED2718" w:rsidP="00096A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ДокторЪ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г.Пущино</w:t>
      </w:r>
      <w:proofErr w:type="spellEnd"/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Московская. обл., Россия.</w:t>
      </w:r>
    </w:p>
    <w:p w:rsidR="00ED2718" w:rsidRPr="006F2E7F" w:rsidRDefault="00ED2718" w:rsidP="00096A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Казмааульская врачебная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амбулатория.,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Хасавюртовский р-он., республика Дагестан</w:t>
      </w:r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., Россия.</w:t>
      </w:r>
    </w:p>
    <w:p w:rsidR="00B045FB" w:rsidRPr="006F2E7F" w:rsidRDefault="00096A0F" w:rsidP="00096A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="00B045FB"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Кафедра неврологии и нейрохирургии Российского государственного </w:t>
      </w:r>
    </w:p>
    <w:p w:rsidR="00B045FB" w:rsidRDefault="00B045FB" w:rsidP="00096A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медицинского </w:t>
      </w:r>
      <w:proofErr w:type="gramStart"/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университета.,</w:t>
      </w:r>
      <w:proofErr w:type="gramEnd"/>
      <w:r w:rsidRPr="006F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Москва., Россия. </w:t>
      </w:r>
    </w:p>
    <w:p w:rsidR="00B045FB" w:rsidRDefault="00B045FB" w:rsidP="00B045FB">
      <w:pPr>
        <w:pStyle w:val="a3"/>
        <w:rPr>
          <w:b/>
        </w:rPr>
      </w:pPr>
    </w:p>
    <w:p w:rsidR="00B045FB" w:rsidRDefault="00B045FB" w:rsidP="00B045F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1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B045FB" w:rsidRPr="00F23942" w:rsidRDefault="00B045FB" w:rsidP="00B045FB">
      <w:pPr>
        <w:pStyle w:val="a3"/>
        <w:jc w:val="both"/>
      </w:pPr>
      <w:r w:rsidRPr="00087484">
        <w:rPr>
          <w:bCs/>
          <w:color w:val="000000"/>
        </w:rPr>
        <w:t xml:space="preserve">Прогрессирующее старение населения является самой значимой демографической проблемой большинства экономически развитых стран мира. Ожидается, что количество пожилых людей к 2030 году удвоится. По мере увеличения возраста нарушаются не только физические, но психологические, когнитивные, социальные функции. Наряду с двигательными и </w:t>
      </w:r>
      <w:proofErr w:type="spellStart"/>
      <w:r w:rsidRPr="00087484">
        <w:rPr>
          <w:bCs/>
          <w:color w:val="000000"/>
        </w:rPr>
        <w:t>координаторными</w:t>
      </w:r>
      <w:proofErr w:type="spellEnd"/>
      <w:r w:rsidRPr="00087484">
        <w:rPr>
          <w:bCs/>
          <w:color w:val="000000"/>
        </w:rPr>
        <w:t xml:space="preserve"> нарушениями пожилые люди в большей степени уязвимы к стрессу, поведенческим расстройствам, хронической усталости. Одно из направлений повышения качества жизни пожилых людей, это внедрение программ активного долголетия, цели которых максимально возможно замедлить нарушения в когнитивной и двигательной сферах, улучшить качество жизни.</w:t>
      </w:r>
      <w:r>
        <w:rPr>
          <w:bCs/>
          <w:color w:val="000000"/>
        </w:rPr>
        <w:t xml:space="preserve"> </w:t>
      </w:r>
      <w:r w:rsidRPr="00087484">
        <w:t>Несмотря на успешное развитие проекта, определяется ряд</w:t>
      </w:r>
      <w:r>
        <w:t xml:space="preserve"> потенциально перспективных направлений, не задействованных в сфере структур программы долголетия. Одним из таких направлений, является, система виртуальной реальности (</w:t>
      </w:r>
      <w:r>
        <w:rPr>
          <w:lang w:val="en-US"/>
        </w:rPr>
        <w:t>VR</w:t>
      </w:r>
      <w:r w:rsidRPr="00F23942">
        <w:t>)</w:t>
      </w:r>
      <w:r w:rsidRPr="00D714D3">
        <w:t>.</w:t>
      </w:r>
      <w:r w:rsidR="00FA3624">
        <w:t xml:space="preserve"> Группа пожилых людей 60-85</w:t>
      </w:r>
      <w:r>
        <w:t xml:space="preserve"> лет прошла</w:t>
      </w:r>
      <w:r w:rsidRPr="00087484">
        <w:t xml:space="preserve"> курс реабилитации</w:t>
      </w:r>
      <w:r>
        <w:t xml:space="preserve"> с использованием </w:t>
      </w:r>
      <w:r>
        <w:rPr>
          <w:lang w:val="en-US"/>
        </w:rPr>
        <w:t>VR</w:t>
      </w:r>
      <w:r w:rsidRPr="00F23942">
        <w:t xml:space="preserve"> </w:t>
      </w:r>
      <w:r w:rsidRPr="00087484">
        <w:t>системы</w:t>
      </w:r>
      <w:r>
        <w:t xml:space="preserve"> в интерактивном режиме,</w:t>
      </w:r>
      <w:r w:rsidRPr="00087484">
        <w:t xml:space="preserve"> в количестве 12 сеансов (ежедневно по одному сеансу в день) и длительностью сеанса 20 минут.</w:t>
      </w:r>
      <w:r>
        <w:t xml:space="preserve"> После к</w:t>
      </w:r>
      <w:r w:rsidRPr="00087484">
        <w:t>урс</w:t>
      </w:r>
      <w:r>
        <w:t>а</w:t>
      </w:r>
      <w:r w:rsidRPr="00087484">
        <w:t xml:space="preserve"> </w:t>
      </w:r>
      <w:r w:rsidRPr="00087484">
        <w:rPr>
          <w:lang w:val="en-US"/>
        </w:rPr>
        <w:t>VR</w:t>
      </w:r>
      <w:r w:rsidRPr="00087484">
        <w:t xml:space="preserve"> ре</w:t>
      </w:r>
      <w:r>
        <w:t>абилитации, снизилась выраженность, синдрома хронической усталости.</w:t>
      </w:r>
      <w:r w:rsidRPr="00087484">
        <w:t xml:space="preserve"> В группе </w:t>
      </w:r>
      <w:r w:rsidRPr="00087484">
        <w:rPr>
          <w:lang w:val="en-US"/>
        </w:rPr>
        <w:t>VR</w:t>
      </w:r>
      <w:r w:rsidRPr="00087484">
        <w:t xml:space="preserve"> реабилитации</w:t>
      </w:r>
      <w:r>
        <w:t xml:space="preserve"> у пожилых людей зарегистрированы</w:t>
      </w:r>
      <w:r w:rsidRPr="00087484">
        <w:t xml:space="preserve"> лучшие параметры управляемостью балансом.</w:t>
      </w:r>
      <w:r>
        <w:t xml:space="preserve"> </w:t>
      </w:r>
      <w:r w:rsidRPr="00F23942">
        <w:t>VR система, это экономически доступная альтернатива дорогостоящей реабилитации, кото</w:t>
      </w:r>
      <w:r>
        <w:t>рая позволяет улучшить качество жизни у пожилых людей</w:t>
      </w:r>
      <w:r w:rsidRPr="00F23942">
        <w:t xml:space="preserve"> и персонализировать восстановительное лечение. </w:t>
      </w:r>
    </w:p>
    <w:p w:rsidR="00B045FB" w:rsidRDefault="00B045FB" w:rsidP="00B045FB">
      <w:pPr>
        <w:pStyle w:val="a3"/>
        <w:jc w:val="both"/>
      </w:pPr>
    </w:p>
    <w:p w:rsidR="00B045FB" w:rsidRDefault="00B045FB" w:rsidP="00B045F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5FB" w:rsidRDefault="00B045FB" w:rsidP="00B045F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5FB" w:rsidRDefault="00B045FB" w:rsidP="00B045F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5FB" w:rsidRDefault="00B045FB" w:rsidP="00B045F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5FB" w:rsidRDefault="00B045FB" w:rsidP="00B045F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5FB" w:rsidRPr="001479B5" w:rsidRDefault="00B045FB" w:rsidP="00B04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Ключевые слова: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долголетие</w:t>
      </w:r>
      <w:r w:rsidRPr="0014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стресс,</w:t>
      </w:r>
      <w:r w:rsidRPr="0014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жизни, </w:t>
      </w:r>
      <w:r w:rsidRPr="0014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хроническая усталость,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«виртуальная реальность»,</w:t>
      </w:r>
      <w:r w:rsidRPr="0014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стабилометрический</w:t>
      </w:r>
      <w:proofErr w:type="spellEnd"/>
      <w:r w:rsidRPr="0014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из, когнитивный тренинг «построение картинок», физическая нагрузка, </w:t>
      </w:r>
      <w:r w:rsidRPr="0014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реабилитация.</w:t>
      </w:r>
      <w:r w:rsidRPr="0014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045FB" w:rsidRPr="00E51117" w:rsidRDefault="00B045FB" w:rsidP="00B045F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5FB" w:rsidRDefault="00B045FB" w:rsidP="00B045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B045FB" w:rsidRDefault="00B045FB" w:rsidP="00B045FB">
      <w:pPr>
        <w:pStyle w:val="a3"/>
        <w:jc w:val="both"/>
      </w:pPr>
      <w:r w:rsidRPr="00EA509B">
        <w:t>Одно из направлений повышения качества жизни пожилых людей</w:t>
      </w:r>
      <w:r>
        <w:t>, это внедрение программ активного долголетия, цели которых максимально возможно замедлить нарушения</w:t>
      </w:r>
      <w:r w:rsidRPr="00EA509B">
        <w:t xml:space="preserve"> в ко</w:t>
      </w:r>
      <w:r>
        <w:t xml:space="preserve">гнитивной и двигательной сферах, улучшить качество жизни. Тщательный мониторинг физических и эмоциональных нагрузок является инструментом контроля эффективности программ. Нельзя не отметить значительные достижения в создании инфраструктуры для реализации проектов активного долголетия, внедрение новаторских методик, широкий спектр и высокое качество оказываемых услуг.  Важное значение для успешного развития системы активного долголетия имеет </w:t>
      </w:r>
      <w:proofErr w:type="spellStart"/>
      <w:r>
        <w:t>курация</w:t>
      </w:r>
      <w:proofErr w:type="spellEnd"/>
      <w:r>
        <w:t xml:space="preserve"> проекта ведущими научно-исследовательскими институтами, социальными центрами и заслуженными </w:t>
      </w:r>
      <w:proofErr w:type="gramStart"/>
      <w:r>
        <w:t>деятелями  искусства</w:t>
      </w:r>
      <w:proofErr w:type="gramEnd"/>
      <w:r>
        <w:t xml:space="preserve">, культуры и труда. Несмотря на успешное развитие проекта, определяется ряд потенциально перспективных направлений, не задействованных в сфере структур долголетия, рутинно используемых, например, в Китае и странах Евросоюза. Одним из таких направлений, является, система виртуальной реальности </w:t>
      </w:r>
      <w:r w:rsidRPr="00D714D3">
        <w:t>(</w:t>
      </w:r>
      <w:r>
        <w:rPr>
          <w:lang w:val="en-US"/>
        </w:rPr>
        <w:t>VR</w:t>
      </w:r>
      <w:r w:rsidRPr="00D714D3">
        <w:t>).</w:t>
      </w:r>
      <w:r>
        <w:t xml:space="preserve"> VR это система искусственного генерирования сенсорной информации в режиме реального времени в виде виртуальной среды, которая может быть интерактивной или пассивной, представлена различными сценариями, воспринимается как реальный или сюрреалистичный мир[1,2]</w:t>
      </w:r>
      <w:r w:rsidRPr="00176825">
        <w:t>.</w:t>
      </w:r>
      <w:r w:rsidRPr="00FB57BC">
        <w:t xml:space="preserve"> </w:t>
      </w:r>
      <w:r>
        <w:t xml:space="preserve">Идея использования </w:t>
      </w:r>
      <w:r>
        <w:rPr>
          <w:lang w:val="en-US"/>
        </w:rPr>
        <w:t>VR</w:t>
      </w:r>
      <w:r>
        <w:t xml:space="preserve"> систем для лечения и реабилитации не нова. Первые упоминания относятся к 60-70 годам. В большинстве исследований изучалось влияние </w:t>
      </w:r>
      <w:r>
        <w:rPr>
          <w:lang w:val="en-US"/>
        </w:rPr>
        <w:t>VR</w:t>
      </w:r>
      <w:r w:rsidRPr="002C384F">
        <w:t xml:space="preserve"> </w:t>
      </w:r>
      <w:r>
        <w:t xml:space="preserve">систем на поведенческие и психические нарушения (депрессия, </w:t>
      </w:r>
      <w:proofErr w:type="spellStart"/>
      <w:r>
        <w:t>постравматическое</w:t>
      </w:r>
      <w:proofErr w:type="spellEnd"/>
      <w:r>
        <w:t xml:space="preserve"> стрессовое расстройство и др.) у молодых и зрелых пациентов, как правило до 50 лет.</w:t>
      </w:r>
      <w:r w:rsidRPr="006D11C8">
        <w:t xml:space="preserve"> </w:t>
      </w:r>
      <w:r>
        <w:t xml:space="preserve">Тем не менее, изучение </w:t>
      </w:r>
      <w:r>
        <w:rPr>
          <w:lang w:val="en-US"/>
        </w:rPr>
        <w:t>VR</w:t>
      </w:r>
      <w:r w:rsidRPr="002C384F">
        <w:t xml:space="preserve"> </w:t>
      </w:r>
      <w:r>
        <w:t xml:space="preserve">систем в сценариях с пожилыми людьми представлены небольшим количеством исследований. С возрастом толерантность к стрессам снижается, поведенческие и психические расстройства становятся более распространенными. Упрощенно патофизиология длительного стресса включает стойкую генерацию уровня кортизола. Длительная </w:t>
      </w:r>
      <w:proofErr w:type="spellStart"/>
      <w:r>
        <w:t>гиперкортизолемия</w:t>
      </w:r>
      <w:proofErr w:type="spellEnd"/>
      <w:r>
        <w:t xml:space="preserve"> приводит к толерантности к глюкокортикоидным рецепторам, часть которых сосредоточена в </w:t>
      </w:r>
      <w:proofErr w:type="spellStart"/>
      <w:r>
        <w:t>гиппокампе</w:t>
      </w:r>
      <w:proofErr w:type="spellEnd"/>
      <w:r>
        <w:t xml:space="preserve">, индуцирует его дисфункцию и/или атрофию приводит к неадекватным эмоциональным и когнитивным нарушениям </w:t>
      </w:r>
      <w:r w:rsidRPr="00176825">
        <w:t>[3].</w:t>
      </w:r>
      <w:r>
        <w:t xml:space="preserve"> Нередко стресс индуцированные состояния особенно у возрастных пациентов сочетаются с повышенной утомляемостью и синдромом хронической усталости (СХУ). </w:t>
      </w:r>
      <w:r w:rsidRPr="00226614">
        <w:t>Клинически про</w:t>
      </w:r>
      <w:r>
        <w:t>является снижением работоспособ</w:t>
      </w:r>
      <w:r w:rsidRPr="00226614">
        <w:t>ности и физической активности, необходимостью частого отдыха, повышенной сонливостью. СХУ носит многофакторный хара</w:t>
      </w:r>
      <w:r>
        <w:t>ктер, в котором участвуют нейро</w:t>
      </w:r>
      <w:r w:rsidRPr="00226614">
        <w:t>физиологические механизмы и психоген</w:t>
      </w:r>
      <w:r>
        <w:t>ные факторы</w:t>
      </w:r>
      <w:r w:rsidRPr="00226614">
        <w:t>.</w:t>
      </w:r>
      <w:r>
        <w:t xml:space="preserve"> </w:t>
      </w:r>
      <w:r w:rsidRPr="00226614">
        <w:t>Ряд исследователей выделяют «централ</w:t>
      </w:r>
      <w:r>
        <w:t>ьную» усталость, которая опреде</w:t>
      </w:r>
      <w:r w:rsidRPr="00226614">
        <w:t xml:space="preserve">ляет неспособность к концентрации внимания и </w:t>
      </w:r>
      <w:r>
        <w:t>бы</w:t>
      </w:r>
      <w:r w:rsidRPr="00226614">
        <w:t>струю познавательную утомляемость. Периферическая усталость-это мышечная утомляемость вследствие нарушений в нейромышечных соединениях [</w:t>
      </w:r>
      <w:r w:rsidRPr="00176825">
        <w:t>4</w:t>
      </w:r>
      <w:r w:rsidRPr="00226614">
        <w:t xml:space="preserve">]. </w:t>
      </w:r>
      <w:r>
        <w:t xml:space="preserve">В этой главе мы сознательно не затрагиваем фундаментальные теории возникновения СХУ, в особенности в свете последних данных </w:t>
      </w:r>
      <w:r>
        <w:rPr>
          <w:lang w:val="en-US"/>
        </w:rPr>
        <w:t>lost</w:t>
      </w:r>
      <w:r w:rsidRPr="00912427">
        <w:t>-</w:t>
      </w:r>
      <w:r>
        <w:rPr>
          <w:lang w:val="en-US"/>
        </w:rPr>
        <w:t>covid</w:t>
      </w:r>
      <w:r w:rsidR="003E724A">
        <w:t xml:space="preserve"> ассоциированных </w:t>
      </w:r>
      <w:r>
        <w:t xml:space="preserve">состояний и требует отдельного освещения.   В виду ряда факторов пожилые люди больше подвержены СХУ. В системном обзоре с </w:t>
      </w:r>
      <w:proofErr w:type="spellStart"/>
      <w:r>
        <w:t>метаанализом</w:t>
      </w:r>
      <w:proofErr w:type="spellEnd"/>
      <w:r w:rsidRPr="001777FD">
        <w:t xml:space="preserve">, </w:t>
      </w:r>
      <w:r>
        <w:t>проведенным</w:t>
      </w:r>
      <w:r w:rsidRPr="00FB57BC">
        <w:t xml:space="preserve"> </w:t>
      </w:r>
      <w:r>
        <w:t xml:space="preserve">в 2019году </w:t>
      </w:r>
      <w:r>
        <w:rPr>
          <w:lang w:val="en-US"/>
        </w:rPr>
        <w:t>Irene</w:t>
      </w:r>
      <w:r w:rsidRPr="006D11C8">
        <w:t xml:space="preserve"> </w:t>
      </w:r>
      <w:r>
        <w:rPr>
          <w:lang w:val="en-US"/>
        </w:rPr>
        <w:t>Cortes</w:t>
      </w:r>
      <w:r w:rsidRPr="006D11C8">
        <w:t>-</w:t>
      </w:r>
      <w:r>
        <w:rPr>
          <w:lang w:val="en-US"/>
        </w:rPr>
        <w:t>Peres</w:t>
      </w:r>
      <w:r>
        <w:t xml:space="preserve"> и соавторами показали, что </w:t>
      </w:r>
      <w:r>
        <w:rPr>
          <w:lang w:val="en-US"/>
        </w:rPr>
        <w:t>VR</w:t>
      </w:r>
      <w:r>
        <w:t xml:space="preserve"> терапия понижала выраженность тревожности, синдрома хронической усталости, повышала качество жизни больных рассеянным склерозом. Тем не менее, изучение систем виртуальной реальности в сценариях с пожилыми людьми представлены небольшим количеством исследований, что делает эту проблему актуальной.</w:t>
      </w:r>
    </w:p>
    <w:p w:rsidR="00B045FB" w:rsidRDefault="00B045FB" w:rsidP="00B045FB">
      <w:pPr>
        <w:pStyle w:val="a3"/>
        <w:rPr>
          <w:b/>
        </w:rPr>
      </w:pPr>
    </w:p>
    <w:p w:rsidR="00B045FB" w:rsidRDefault="00B045FB" w:rsidP="00B045FB">
      <w:pPr>
        <w:pStyle w:val="a3"/>
        <w:rPr>
          <w:b/>
        </w:rPr>
      </w:pPr>
      <w:r w:rsidRPr="00E17301">
        <w:rPr>
          <w:b/>
        </w:rPr>
        <w:lastRenderedPageBreak/>
        <w:t xml:space="preserve">Материалы и методы исследования. </w:t>
      </w:r>
    </w:p>
    <w:p w:rsidR="00B045FB" w:rsidRDefault="00B045FB" w:rsidP="00B045FB">
      <w:pPr>
        <w:pStyle w:val="a3"/>
        <w:jc w:val="both"/>
      </w:pPr>
      <w:r w:rsidRPr="00E17301">
        <w:t>Наблюдал</w:t>
      </w:r>
      <w:r>
        <w:t>и 30 человек в возрасте от 60 до 80</w:t>
      </w:r>
      <w:r w:rsidRPr="00E17301">
        <w:t xml:space="preserve"> лет</w:t>
      </w:r>
      <w:r>
        <w:t xml:space="preserve"> (20 человек-основная группа, 10 человек-группа сравнения) (11 мужчин и 19 женщин), у всех зарегистрирован СХУ,</w:t>
      </w:r>
      <w:r w:rsidRPr="00E17301">
        <w:t xml:space="preserve"> с продолжительностью </w:t>
      </w:r>
      <w:r>
        <w:t>состояния от 6 месяцев</w:t>
      </w:r>
      <w:r w:rsidRPr="00E17301">
        <w:t xml:space="preserve"> д</w:t>
      </w:r>
      <w:r>
        <w:t>о 3 лет.  Основная группа прошла курс реабилитации</w:t>
      </w:r>
      <w:r w:rsidRPr="009E4625">
        <w:t xml:space="preserve"> с использованием VR системы с интерактивным режимом</w:t>
      </w:r>
      <w:r>
        <w:t xml:space="preserve"> в количестве 12 сеансов (ежедневно по одному сеансу в день) и длительностью сеанса 20 минут</w:t>
      </w:r>
      <w:r w:rsidRPr="009E4625">
        <w:t>.</w:t>
      </w:r>
      <w:r>
        <w:t xml:space="preserve"> </w:t>
      </w:r>
      <w:r w:rsidRPr="00E17301">
        <w:t>Группу сравнения со</w:t>
      </w:r>
      <w:r>
        <w:t>ставили 10 человек СХУ, совмести</w:t>
      </w:r>
      <w:r w:rsidRPr="00E17301">
        <w:t xml:space="preserve">мых по возрасту, </w:t>
      </w:r>
      <w:r>
        <w:t>полу, течению и тяжести состоя</w:t>
      </w:r>
      <w:r w:rsidRPr="00E17301">
        <w:t>ния</w:t>
      </w:r>
      <w:r>
        <w:t xml:space="preserve">, без применения </w:t>
      </w:r>
      <w:r>
        <w:rPr>
          <w:lang w:val="en-US"/>
        </w:rPr>
        <w:t>VR</w:t>
      </w:r>
      <w:r>
        <w:t xml:space="preserve"> реабилитации в обычном режиме</w:t>
      </w:r>
      <w:r w:rsidRPr="00E17301">
        <w:t>.</w:t>
      </w:r>
      <w:r>
        <w:t xml:space="preserve"> На этапе исследования ни один из пациентов не получал антидепрессанты. Основная и контрольные группы проходили тестирование на тренажере «построение картинок». Суть теста</w:t>
      </w:r>
      <w:r w:rsidRPr="00E17301">
        <w:t xml:space="preserve"> </w:t>
      </w:r>
      <w:r>
        <w:t>«построение картинок» заключается</w:t>
      </w:r>
      <w:r w:rsidRPr="00E17301">
        <w:t xml:space="preserve"> в перемещении больным центра давления в различных направл</w:t>
      </w:r>
      <w:r>
        <w:t>ениях (в зависимости от располо</w:t>
      </w:r>
      <w:r w:rsidRPr="00E17301">
        <w:t>жения мишени), пытаясь сохранить равновесие. При выполнении игры «построение картинок» больные отклонением тела старались совмещать к</w:t>
      </w:r>
      <w:r>
        <w:t>урсор, ото</w:t>
      </w:r>
      <w:r w:rsidRPr="00E17301">
        <w:t xml:space="preserve">бражающий положение тела на </w:t>
      </w:r>
      <w:proofErr w:type="spellStart"/>
      <w:r w:rsidRPr="00E17301">
        <w:t>стабилоплатформе</w:t>
      </w:r>
      <w:proofErr w:type="spellEnd"/>
      <w:r w:rsidRPr="00E17301">
        <w:t xml:space="preserve"> (СП) с фрагментами картинки, расположенными в верней части экрана </w:t>
      </w:r>
      <w:r>
        <w:t>и укладывали их в шаблон, распо</w:t>
      </w:r>
      <w:r w:rsidRPr="00E17301">
        <w:t>ложенный по центру экрана в соответствии с макетом, который отображается в правой нижней части экрана. За каждый фрагмент, правильно уложенный в шаблон, больной получал 5 баллов, а за попытку неправильной укладки</w:t>
      </w:r>
      <w:r>
        <w:t xml:space="preserve"> </w:t>
      </w:r>
      <w:r w:rsidRPr="00E17301">
        <w:t xml:space="preserve">фрагмента картинки увеличивалось количество ошибок. Цель теста – за определенное время набрать максимальное количество баллов, совершив при этом минимум ошибок. </w:t>
      </w:r>
      <w:r w:rsidRPr="004660FD">
        <w:t xml:space="preserve">Выраженность СХУ оценивалась по шкале </w:t>
      </w:r>
      <w:proofErr w:type="spellStart"/>
      <w:r w:rsidRPr="004660FD">
        <w:t>mFIS</w:t>
      </w:r>
      <w:proofErr w:type="spellEnd"/>
      <w:r w:rsidRPr="004660FD">
        <w:t xml:space="preserve"> (</w:t>
      </w:r>
      <w:proofErr w:type="spellStart"/>
      <w:r w:rsidRPr="004660FD">
        <w:t>Modifi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FatigueImpact</w:t>
      </w:r>
      <w:proofErr w:type="spellEnd"/>
      <w:r>
        <w:t xml:space="preserve"> </w:t>
      </w:r>
      <w:proofErr w:type="spellStart"/>
      <w:r>
        <w:t>Scale</w:t>
      </w:r>
      <w:proofErr w:type="spellEnd"/>
      <w:r>
        <w:t>) c оцен</w:t>
      </w:r>
      <w:r w:rsidRPr="004660FD">
        <w:t>кой «общей усталости» у всех больных РС до обучения балансу по средствам реабилитационных т</w:t>
      </w:r>
      <w:r>
        <w:t xml:space="preserve">естов «построение картинок» </w:t>
      </w:r>
      <w:r w:rsidRPr="004660FD">
        <w:t>по окон</w:t>
      </w:r>
      <w:r>
        <w:t>чании курса реабилитации. Расши</w:t>
      </w:r>
      <w:r w:rsidRPr="004660FD">
        <w:t>ренная шкала FIS (</w:t>
      </w:r>
      <w:proofErr w:type="spellStart"/>
      <w:r w:rsidRPr="004660FD">
        <w:t>Fatigue</w:t>
      </w:r>
      <w:proofErr w:type="spellEnd"/>
      <w:r>
        <w:t xml:space="preserve"> </w:t>
      </w:r>
      <w:proofErr w:type="spellStart"/>
      <w:r w:rsidRPr="004660FD">
        <w:t>Impact</w:t>
      </w:r>
      <w:proofErr w:type="spellEnd"/>
      <w:r>
        <w:t xml:space="preserve"> </w:t>
      </w:r>
      <w:proofErr w:type="spellStart"/>
      <w:r w:rsidRPr="004660FD">
        <w:t>Scale</w:t>
      </w:r>
      <w:proofErr w:type="spellEnd"/>
      <w:r w:rsidRPr="004660FD">
        <w:t>), состоит из 40 вопросов и включает в себя 3 независимых раздела для оценки влияния уто</w:t>
      </w:r>
      <w:r>
        <w:t>мляемости на когнитивную, пси</w:t>
      </w:r>
      <w:r w:rsidRPr="004660FD">
        <w:t>хосоциальную и физическую сферы жизни больного. По каждому пункту предлагается 5 вариантов ответа («никогда», «редко», «иногда», «часто», «всегда»), кодирующихся соответственно от 0 до 4 баллов [</w:t>
      </w:r>
      <w:r>
        <w:t>5</w:t>
      </w:r>
      <w:r w:rsidRPr="004660FD">
        <w:t>]. В 1998 году совет п</w:t>
      </w:r>
      <w:r>
        <w:t>о клинической практике (</w:t>
      </w:r>
      <w:proofErr w:type="spellStart"/>
      <w:r>
        <w:t>Multipl</w:t>
      </w:r>
      <w:r w:rsidRPr="004660FD">
        <w:t>e</w:t>
      </w:r>
      <w:proofErr w:type="spellEnd"/>
      <w:r>
        <w:t xml:space="preserve"> </w:t>
      </w:r>
      <w:proofErr w:type="spellStart"/>
      <w:r w:rsidRPr="004660FD">
        <w:t>sclerosis</w:t>
      </w:r>
      <w:proofErr w:type="spellEnd"/>
      <w:r>
        <w:t xml:space="preserve"> </w:t>
      </w:r>
      <w:proofErr w:type="spellStart"/>
      <w:r w:rsidRPr="004660FD">
        <w:t>qualityofl</w:t>
      </w:r>
      <w:proofErr w:type="spellEnd"/>
      <w:r w:rsidRPr="004660FD">
        <w:t xml:space="preserve"> </w:t>
      </w:r>
      <w:proofErr w:type="spellStart"/>
      <w:r w:rsidRPr="004660FD">
        <w:t>ifeinventory</w:t>
      </w:r>
      <w:proofErr w:type="spellEnd"/>
      <w:r w:rsidRPr="004660FD">
        <w:t>) рекомендовал сокращенную версию вышеописанной 40-пунктной шкалы (</w:t>
      </w:r>
      <w:proofErr w:type="spellStart"/>
      <w:r w:rsidRPr="004660FD">
        <w:t>Fisk.J.Detal</w:t>
      </w:r>
      <w:proofErr w:type="spellEnd"/>
      <w:r w:rsidRPr="004660FD">
        <w:t xml:space="preserve"> 1994). Опросник состоит из 21 вопроса. Сокращенная шкала оценивает пациентов от 0 до 4-х баллов, за последние 4 недели, с использованием рейтинговой модели подсч</w:t>
      </w:r>
      <w:r>
        <w:t xml:space="preserve">ета, предложенной </w:t>
      </w:r>
      <w:proofErr w:type="spellStart"/>
      <w:r>
        <w:t>R.Likert</w:t>
      </w:r>
      <w:proofErr w:type="spellEnd"/>
      <w:r>
        <w:t xml:space="preserve"> и </w:t>
      </w:r>
      <w:r w:rsidRPr="004660FD">
        <w:t>существенно сокращает время обследования, без снижения информати</w:t>
      </w:r>
      <w:r>
        <w:t>вности, по сравнению с расширен</w:t>
      </w:r>
      <w:r w:rsidRPr="004660FD">
        <w:t>ной шкалой FIS</w:t>
      </w:r>
      <w:r>
        <w:t xml:space="preserve"> </w:t>
      </w:r>
      <w:r w:rsidRPr="004660FD">
        <w:t>[</w:t>
      </w:r>
      <w:r>
        <w:t>6]</w:t>
      </w:r>
      <w:r w:rsidRPr="004660FD">
        <w:t xml:space="preserve">. </w:t>
      </w:r>
      <w:r>
        <w:t xml:space="preserve">Так, как курс </w:t>
      </w:r>
      <w:r>
        <w:rPr>
          <w:lang w:val="en-US"/>
        </w:rPr>
        <w:t>VR</w:t>
      </w:r>
      <w:r w:rsidRPr="0033542B">
        <w:t xml:space="preserve"> </w:t>
      </w:r>
      <w:r>
        <w:t xml:space="preserve">реабилитации состоял из 12 сеансов оценка СХУ по шкале </w:t>
      </w:r>
      <w:r>
        <w:rPr>
          <w:lang w:val="en-US"/>
        </w:rPr>
        <w:t>mFIS</w:t>
      </w:r>
      <w:r>
        <w:t xml:space="preserve"> производилась не за четыре недели, а за последние две недели. </w:t>
      </w:r>
      <w:r w:rsidRPr="004660FD">
        <w:t>Статистическая обработка данных производилась параметрическими методами одно- и двухфакторного дисперсионного анализа по критериям Фишера и</w:t>
      </w:r>
      <w:r>
        <w:t xml:space="preserve"> </w:t>
      </w:r>
      <w:r w:rsidRPr="004660FD">
        <w:t>Стьюдента для 5% и 1% уровня значимости, с проверкой на нормальность по критерию Колмогорова. Использовалась про</w:t>
      </w:r>
      <w:r>
        <w:t>грамма «Статистика», разработан</w:t>
      </w:r>
      <w:r w:rsidRPr="004660FD">
        <w:t xml:space="preserve">ная в ИБК РАН и адаптированная к </w:t>
      </w:r>
      <w:proofErr w:type="spellStart"/>
      <w:r w:rsidRPr="004660FD">
        <w:t>Windows</w:t>
      </w:r>
      <w:proofErr w:type="spellEnd"/>
      <w:r w:rsidRPr="004660FD">
        <w:t xml:space="preserve"> [</w:t>
      </w:r>
      <w:r>
        <w:rPr>
          <w:sz w:val="20"/>
          <w:szCs w:val="20"/>
        </w:rPr>
        <w:t>7</w:t>
      </w:r>
      <w:r w:rsidRPr="004660FD">
        <w:t xml:space="preserve">]. </w:t>
      </w:r>
    </w:p>
    <w:p w:rsidR="00B045FB" w:rsidRDefault="00B045FB" w:rsidP="00B045FB">
      <w:pPr>
        <w:pStyle w:val="a3"/>
      </w:pPr>
      <w:r w:rsidRPr="00BC0935">
        <w:rPr>
          <w:b/>
        </w:rPr>
        <w:t>Результаты исследования и обсуждение.</w:t>
      </w:r>
      <w:r w:rsidRPr="004660FD">
        <w:t xml:space="preserve"> </w:t>
      </w:r>
    </w:p>
    <w:p w:rsidR="00B045FB" w:rsidRDefault="00B045FB" w:rsidP="00B045FB">
      <w:pPr>
        <w:pStyle w:val="a3"/>
        <w:jc w:val="both"/>
        <w:rPr>
          <w:rFonts w:ascii="Arial Black" w:hAnsi="Arial Black" w:cs="Arial Black"/>
          <w:b/>
          <w:bCs/>
          <w:color w:val="000000"/>
          <w:sz w:val="20"/>
          <w:szCs w:val="20"/>
        </w:rPr>
      </w:pPr>
      <w:r>
        <w:t xml:space="preserve">У исследуемых пожилых людей </w:t>
      </w:r>
      <w:r w:rsidRPr="004660FD">
        <w:t xml:space="preserve">был выявлен СХУ (46,3+4,8). Степень </w:t>
      </w:r>
      <w:r>
        <w:t>С</w:t>
      </w:r>
      <w:r w:rsidRPr="004660FD">
        <w:t xml:space="preserve">ХУ оценивалась по шкале </w:t>
      </w:r>
      <w:proofErr w:type="spellStart"/>
      <w:r w:rsidRPr="004660FD">
        <w:t>mFIS</w:t>
      </w:r>
      <w:proofErr w:type="spellEnd"/>
      <w:r w:rsidRPr="004660FD">
        <w:t xml:space="preserve"> (общая усталость). После </w:t>
      </w:r>
      <w:r>
        <w:t xml:space="preserve">проведенного курса </w:t>
      </w:r>
      <w:r>
        <w:rPr>
          <w:lang w:val="en-US"/>
        </w:rPr>
        <w:t>VR</w:t>
      </w:r>
      <w:r w:rsidRPr="00040720">
        <w:t>-</w:t>
      </w:r>
      <w:r>
        <w:t xml:space="preserve"> реабилитации, состоящий из 12 сеансов, продолжительностью 15 минут, у пациентов</w:t>
      </w:r>
      <w:r w:rsidRPr="004660FD">
        <w:t xml:space="preserve"> отмечалось уменьшение СХУ по шкале СХУ (33,2+/-3,1) по сравнению с 43,9+/-4,2 до лечения, в группе сравнения статистически значимых изменений</w:t>
      </w:r>
      <w:r>
        <w:t>,</w:t>
      </w:r>
      <w:r w:rsidRPr="004660FD">
        <w:t xml:space="preserve"> указывающих на положительную динамику СХУ не отмечалось</w:t>
      </w:r>
      <w:r>
        <w:t xml:space="preserve"> (таблица 1)</w:t>
      </w:r>
      <w:r w:rsidRPr="004660FD">
        <w:t xml:space="preserve">. </w:t>
      </w:r>
    </w:p>
    <w:p w:rsidR="00B045FB" w:rsidRDefault="00B045FB" w:rsidP="00B045FB">
      <w:pPr>
        <w:spacing w:after="0" w:line="240" w:lineRule="auto"/>
        <w:rPr>
          <w:rFonts w:ascii="Arial Black" w:eastAsia="Times New Roman" w:hAnsi="Arial Black" w:cs="Arial Black"/>
          <w:b/>
          <w:bCs/>
          <w:color w:val="000000"/>
          <w:sz w:val="20"/>
          <w:szCs w:val="20"/>
          <w:lang w:eastAsia="ru-RU"/>
        </w:rPr>
      </w:pPr>
    </w:p>
    <w:p w:rsidR="00B045FB" w:rsidRDefault="00B045FB" w:rsidP="00B045FB">
      <w:pPr>
        <w:spacing w:after="0" w:line="240" w:lineRule="auto"/>
        <w:rPr>
          <w:rFonts w:ascii="Arial Black" w:eastAsia="Times New Roman" w:hAnsi="Arial Black" w:cs="Arial Black"/>
          <w:b/>
          <w:bCs/>
          <w:color w:val="000000"/>
          <w:sz w:val="20"/>
          <w:szCs w:val="20"/>
          <w:lang w:eastAsia="ru-RU"/>
        </w:rPr>
      </w:pPr>
    </w:p>
    <w:p w:rsidR="00B045FB" w:rsidRDefault="00B045FB" w:rsidP="00B045FB">
      <w:pPr>
        <w:spacing w:after="0" w:line="240" w:lineRule="auto"/>
        <w:rPr>
          <w:rFonts w:ascii="Arial Black" w:eastAsia="Times New Roman" w:hAnsi="Arial Black" w:cs="Arial Black"/>
          <w:b/>
          <w:bCs/>
          <w:color w:val="000000"/>
          <w:sz w:val="20"/>
          <w:szCs w:val="20"/>
          <w:lang w:eastAsia="ru-RU"/>
        </w:rPr>
      </w:pPr>
    </w:p>
    <w:p w:rsidR="00B045FB" w:rsidRPr="00040720" w:rsidRDefault="00B045FB" w:rsidP="00B045FB">
      <w:pPr>
        <w:spacing w:after="0" w:line="240" w:lineRule="auto"/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</w:pPr>
      <w:r w:rsidRPr="00040720">
        <w:rPr>
          <w:rFonts w:ascii="Arial Black" w:eastAsia="Times New Roman" w:hAnsi="Arial Black" w:cs="Arial Black"/>
          <w:b/>
          <w:bCs/>
          <w:color w:val="000000"/>
          <w:sz w:val="20"/>
          <w:szCs w:val="20"/>
          <w:lang w:eastAsia="ru-RU"/>
        </w:rPr>
        <w:t>Таблица I.</w:t>
      </w:r>
      <w:r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 xml:space="preserve"> Выраженность СХУ у пациентов </w:t>
      </w:r>
      <w:r w:rsidRPr="00040720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 xml:space="preserve">основной и контрольной подгруппы по завершении курса реабилитации </w:t>
      </w:r>
    </w:p>
    <w:tbl>
      <w:tblPr>
        <w:tblW w:w="8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40"/>
        <w:gridCol w:w="1800"/>
        <w:gridCol w:w="1681"/>
        <w:gridCol w:w="1800"/>
      </w:tblGrid>
      <w:tr w:rsidR="00B045FB" w:rsidRPr="00040720" w:rsidTr="0023107F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тренингов </w:t>
            </w: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тренингами</w:t>
            </w: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5FB" w:rsidRPr="00040720" w:rsidTr="0023107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FB" w:rsidRPr="00040720" w:rsidRDefault="00B045FB" w:rsidP="0023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лечения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лечения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лечения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лечения</w:t>
            </w:r>
          </w:p>
        </w:tc>
      </w:tr>
      <w:tr w:rsidR="00B045FB" w:rsidRPr="00040720" w:rsidTr="0023107F">
        <w:trPr>
          <w:trHeight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3,2±4,3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37,8±3,2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43,9±4,2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040720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33,2±3,1*</w:t>
            </w:r>
          </w:p>
        </w:tc>
      </w:tr>
    </w:tbl>
    <w:p w:rsidR="00B045FB" w:rsidRPr="00040720" w:rsidRDefault="00B045FB" w:rsidP="00B045FB">
      <w:pPr>
        <w:spacing w:after="0" w:line="240" w:lineRule="auto"/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</w:pPr>
      <w:r w:rsidRPr="00040720">
        <w:rPr>
          <w:rFonts w:ascii="Arial Black" w:eastAsia="Times New Roman" w:hAnsi="Arial Black" w:cs="Arial Black"/>
          <w:b/>
          <w:bCs/>
          <w:color w:val="000000"/>
          <w:sz w:val="20"/>
          <w:szCs w:val="20"/>
          <w:lang w:eastAsia="ru-RU"/>
        </w:rPr>
        <w:t>Примечание:</w:t>
      </w:r>
      <w:r w:rsidRPr="00040720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 xml:space="preserve"> * достоверность статистических данных по сравнению</w:t>
      </w:r>
      <w:r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 xml:space="preserve"> с показателями до курса </w:t>
      </w:r>
      <w:r>
        <w:rPr>
          <w:rFonts w:ascii="Arial Black" w:eastAsia="Times New Roman" w:hAnsi="Arial Black" w:cs="Arial Black"/>
          <w:color w:val="000000"/>
          <w:sz w:val="20"/>
          <w:szCs w:val="20"/>
          <w:lang w:val="en-US" w:eastAsia="ru-RU"/>
        </w:rPr>
        <w:t>VR</w:t>
      </w:r>
      <w:r w:rsidRPr="00040720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 xml:space="preserve">: </w:t>
      </w:r>
      <w:proofErr w:type="gramStart"/>
      <w:r w:rsidRPr="00040720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>р&lt;</w:t>
      </w:r>
      <w:proofErr w:type="gramEnd"/>
      <w:r w:rsidRPr="00040720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>0,05.</w:t>
      </w:r>
    </w:p>
    <w:p w:rsidR="00B045FB" w:rsidRPr="004E55EC" w:rsidRDefault="00B045FB" w:rsidP="00B045FB">
      <w:pPr>
        <w:pStyle w:val="a3"/>
        <w:jc w:val="both"/>
      </w:pPr>
      <w:r>
        <w:t xml:space="preserve">Дополнительно для оценки влияния </w:t>
      </w:r>
      <w:r>
        <w:rPr>
          <w:lang w:val="en-US"/>
        </w:rPr>
        <w:t>VR</w:t>
      </w:r>
      <w:r>
        <w:t xml:space="preserve"> тренингов на «управляемость балансом» и когнитивную сферу использовался </w:t>
      </w:r>
      <w:proofErr w:type="spellStart"/>
      <w:r>
        <w:t>стабилометрический</w:t>
      </w:r>
      <w:proofErr w:type="spellEnd"/>
      <w:r>
        <w:t xml:space="preserve"> тренажер «построение картинок». Анализ результатов данных динамического </w:t>
      </w:r>
      <w:proofErr w:type="spellStart"/>
      <w:r>
        <w:t>стабилометрического</w:t>
      </w:r>
      <w:proofErr w:type="spellEnd"/>
      <w:r>
        <w:t xml:space="preserve"> тренажера «построение картинок» показывает статистически значимое увеличение количества набранных баллов после курса </w:t>
      </w:r>
      <w:r>
        <w:rPr>
          <w:lang w:val="en-US"/>
        </w:rPr>
        <w:t>VR</w:t>
      </w:r>
      <w:r>
        <w:t xml:space="preserve"> тренингов, что свидетельствует об улучшении управляемостью балансом и когнитивных функций (концентрации внимания, скорости принятия решений). В группе сравнения, также регистрируется позитивная динамика, в виде улучшения управляемостью балансом, но менее выраженная, чем в основной группе (таблица 2).</w:t>
      </w:r>
    </w:p>
    <w:p w:rsidR="00B045FB" w:rsidRDefault="00B045FB" w:rsidP="00B045FB">
      <w:pPr>
        <w:autoSpaceDE w:val="0"/>
        <w:autoSpaceDN w:val="0"/>
        <w:adjustRightInd w:val="0"/>
        <w:ind w:right="45"/>
      </w:pP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Таблица </w:t>
      </w:r>
      <w:r>
        <w:rPr>
          <w:rFonts w:ascii="Arial Black" w:hAnsi="Arial Black" w:cs="Arial Black"/>
          <w:b/>
          <w:bCs/>
          <w:color w:val="000000"/>
          <w:sz w:val="20"/>
          <w:szCs w:val="20"/>
          <w:lang w:val="en-US"/>
        </w:rPr>
        <w:t>II</w:t>
      </w:r>
      <w:r>
        <w:rPr>
          <w:rFonts w:ascii="Arial Black" w:hAnsi="Arial Black" w:cs="Arial Black"/>
          <w:color w:val="000000"/>
          <w:sz w:val="20"/>
          <w:szCs w:val="20"/>
        </w:rPr>
        <w:t>. Управляемость балансом по методу бос</w:t>
      </w:r>
      <w:proofErr w:type="gramStart"/>
      <w:r>
        <w:rPr>
          <w:rFonts w:ascii="Arial Black" w:hAnsi="Arial Black" w:cs="Arial Black"/>
          <w:color w:val="000000"/>
          <w:sz w:val="20"/>
          <w:szCs w:val="20"/>
        </w:rPr>
        <w:t>-«</w:t>
      </w:r>
      <w:proofErr w:type="gramEnd"/>
      <w:r>
        <w:rPr>
          <w:rFonts w:ascii="Arial Black" w:hAnsi="Arial Black" w:cs="Arial Black"/>
          <w:color w:val="000000"/>
          <w:sz w:val="20"/>
          <w:szCs w:val="20"/>
        </w:rPr>
        <w:t xml:space="preserve">построение картинок» до и после курса </w:t>
      </w:r>
      <w:r>
        <w:rPr>
          <w:rFonts w:ascii="Arial Black" w:hAnsi="Arial Black" w:cs="Arial Black"/>
          <w:color w:val="000000"/>
          <w:sz w:val="20"/>
          <w:szCs w:val="20"/>
          <w:lang w:val="en-US"/>
        </w:rPr>
        <w:t>VR</w:t>
      </w:r>
      <w:r>
        <w:rPr>
          <w:rFonts w:ascii="Arial Black" w:hAnsi="Arial Black" w:cs="Arial Black"/>
          <w:color w:val="000000"/>
          <w:sz w:val="20"/>
          <w:szCs w:val="20"/>
        </w:rPr>
        <w:t xml:space="preserve"> реабилитации (</w:t>
      </w:r>
      <w:r>
        <w:rPr>
          <w:rFonts w:ascii="Arial Black" w:hAnsi="Arial Black" w:cs="Arial Black"/>
          <w:color w:val="000000"/>
          <w:sz w:val="20"/>
          <w:szCs w:val="20"/>
          <w:lang w:val="en-US"/>
        </w:rPr>
        <w:t>p</w:t>
      </w:r>
      <w:r>
        <w:rPr>
          <w:rFonts w:ascii="Arial Black" w:hAnsi="Arial Black" w:cs="Arial Black"/>
          <w:color w:val="000000"/>
          <w:sz w:val="20"/>
          <w:szCs w:val="20"/>
        </w:rPr>
        <w:t>&lt;0,05).</w:t>
      </w:r>
    </w:p>
    <w:tbl>
      <w:tblPr>
        <w:tblW w:w="69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1015"/>
        <w:gridCol w:w="1260"/>
        <w:gridCol w:w="1151"/>
        <w:gridCol w:w="1251"/>
      </w:tblGrid>
      <w:tr w:rsidR="00B045FB" w:rsidRPr="008215F4" w:rsidTr="0023107F">
        <w:trPr>
          <w:trHeight w:val="321"/>
        </w:trPr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r w:rsidRPr="007B3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VR</w:t>
            </w:r>
            <w:r w:rsidRPr="007B3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на т</w:t>
            </w: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ренажер «построение картинок»</w:t>
            </w:r>
          </w:p>
        </w:tc>
      </w:tr>
      <w:tr w:rsidR="00B045FB" w:rsidRPr="008215F4" w:rsidTr="0023107F">
        <w:trPr>
          <w:trHeight w:val="21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ольных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группа </w:t>
            </w: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 </w:t>
            </w: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сравнения </w:t>
            </w: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proofErr w:type="gramEnd"/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–</w:t>
            </w: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045FB" w:rsidRPr="008215F4" w:rsidTr="0023107F">
        <w:trPr>
          <w:trHeight w:val="30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VR </w:t>
            </w: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(курс)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</w:t>
            </w:r>
          </w:p>
        </w:tc>
      </w:tr>
      <w:tr w:rsidR="00B045FB" w:rsidRPr="008215F4" w:rsidTr="0023107F">
        <w:trPr>
          <w:trHeight w:val="37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Набранные баллы «</w:t>
            </w: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картинок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53,4±5,9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ind w:left="-268" w:firstLine="2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92,0±9,9*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45,9±4,1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8215F4" w:rsidRDefault="00B045FB" w:rsidP="002310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</w:t>
            </w:r>
            <w:r w:rsidRPr="008215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,1±2,8*</w:t>
            </w:r>
          </w:p>
        </w:tc>
      </w:tr>
    </w:tbl>
    <w:p w:rsidR="00B045FB" w:rsidRPr="00040720" w:rsidRDefault="00B045FB" w:rsidP="00B045FB">
      <w:pPr>
        <w:spacing w:after="0" w:line="240" w:lineRule="auto"/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</w:pPr>
      <w:r w:rsidRPr="00040720">
        <w:rPr>
          <w:rFonts w:ascii="Arial Black" w:eastAsia="Times New Roman" w:hAnsi="Arial Black" w:cs="Arial Black"/>
          <w:bCs/>
          <w:color w:val="000000"/>
          <w:sz w:val="20"/>
          <w:szCs w:val="20"/>
          <w:lang w:eastAsia="ru-RU"/>
        </w:rPr>
        <w:t>Примечание:</w:t>
      </w:r>
      <w:r w:rsidRPr="00040720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 xml:space="preserve"> * достоверность статистических данных по сравнению</w:t>
      </w:r>
      <w:r w:rsidRPr="00184FAA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 xml:space="preserve"> с показателями до курса </w:t>
      </w:r>
      <w:r w:rsidRPr="00184FAA">
        <w:rPr>
          <w:rFonts w:ascii="Arial Black" w:eastAsia="Times New Roman" w:hAnsi="Arial Black" w:cs="Arial Black"/>
          <w:color w:val="000000"/>
          <w:sz w:val="20"/>
          <w:szCs w:val="20"/>
          <w:lang w:val="en-US" w:eastAsia="ru-RU"/>
        </w:rPr>
        <w:t>VR</w:t>
      </w:r>
      <w:r w:rsidRPr="00040720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 xml:space="preserve">: </w:t>
      </w:r>
      <w:proofErr w:type="gramStart"/>
      <w:r w:rsidRPr="00040720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>р&lt;</w:t>
      </w:r>
      <w:proofErr w:type="gramEnd"/>
      <w:r w:rsidRPr="00040720">
        <w:rPr>
          <w:rFonts w:ascii="Arial Black" w:eastAsia="Times New Roman" w:hAnsi="Arial Black" w:cs="Arial Black"/>
          <w:color w:val="000000"/>
          <w:sz w:val="20"/>
          <w:szCs w:val="20"/>
          <w:lang w:eastAsia="ru-RU"/>
        </w:rPr>
        <w:t>0,05.</w:t>
      </w:r>
    </w:p>
    <w:p w:rsidR="00B045FB" w:rsidRDefault="00B045FB" w:rsidP="00B04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5FB" w:rsidRDefault="00B045FB" w:rsidP="00B04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проведена оценка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VR</w:t>
      </w:r>
      <w:r w:rsidRPr="00B1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сеанса и тренажера «построение картинок» </w:t>
      </w:r>
      <w:r w:rsidRPr="00B1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B1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кардиореспираторную</w:t>
      </w:r>
      <w:proofErr w:type="spellEnd"/>
      <w:r w:rsidRPr="00B1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функцию по частоте сердечных сокращений, где максимальный прирост </w:t>
      </w:r>
      <w:proofErr w:type="spellStart"/>
      <w:r w:rsidRPr="00B1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чсс</w:t>
      </w:r>
      <w:proofErr w:type="spellEnd"/>
      <w:r w:rsidRPr="00B16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чался в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VR</w:t>
      </w:r>
      <w:r w:rsidRPr="00A6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сета (таблица 3).</w:t>
      </w:r>
    </w:p>
    <w:p w:rsidR="00B045FB" w:rsidRPr="00B16B65" w:rsidRDefault="00B045FB" w:rsidP="00B04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5FB" w:rsidRDefault="00B045FB" w:rsidP="00B045FB">
      <w:pPr>
        <w:rPr>
          <w:rFonts w:ascii="Arial Black" w:hAnsi="Arial Black" w:cs="Arial Black"/>
          <w:b/>
          <w:bCs/>
          <w:color w:val="000000"/>
          <w:sz w:val="20"/>
          <w:szCs w:val="20"/>
        </w:rPr>
      </w:pP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Таблица </w:t>
      </w:r>
      <w:r>
        <w:rPr>
          <w:rFonts w:ascii="Arial Black" w:hAnsi="Arial Black" w:cs="Arial Black"/>
          <w:b/>
          <w:bCs/>
          <w:color w:val="000000"/>
          <w:sz w:val="20"/>
          <w:szCs w:val="20"/>
          <w:lang w:val="en-US"/>
        </w:rPr>
        <w:t>III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>.</w:t>
      </w:r>
      <w:r>
        <w:rPr>
          <w:rFonts w:ascii="Arial Black" w:hAnsi="Arial Black" w:cs="Arial Black"/>
          <w:color w:val="000000"/>
          <w:sz w:val="20"/>
          <w:szCs w:val="20"/>
        </w:rPr>
        <w:t xml:space="preserve"> Сравнительный анализ </w:t>
      </w:r>
      <w:proofErr w:type="gramStart"/>
      <w:r>
        <w:rPr>
          <w:rFonts w:ascii="Arial Black" w:hAnsi="Arial Black" w:cs="Arial Black"/>
          <w:color w:val="000000"/>
          <w:sz w:val="20"/>
          <w:szCs w:val="20"/>
        </w:rPr>
        <w:t xml:space="preserve">влияния  </w:t>
      </w:r>
      <w:r>
        <w:rPr>
          <w:rFonts w:ascii="Arial Black" w:hAnsi="Arial Black" w:cs="Arial Black"/>
          <w:color w:val="000000"/>
          <w:sz w:val="20"/>
          <w:szCs w:val="20"/>
          <w:lang w:val="en-US"/>
        </w:rPr>
        <w:t>VR</w:t>
      </w:r>
      <w:proofErr w:type="gramEnd"/>
      <w:r>
        <w:rPr>
          <w:rFonts w:ascii="Arial Black" w:hAnsi="Arial Black" w:cs="Arial Black"/>
          <w:color w:val="000000"/>
          <w:sz w:val="20"/>
          <w:szCs w:val="20"/>
        </w:rPr>
        <w:t xml:space="preserve"> cеанса до и после </w:t>
      </w:r>
      <w:r w:rsidRPr="00B16B65">
        <w:rPr>
          <w:rFonts w:ascii="Arial Black" w:hAnsi="Arial Black" w:cs="Arial Black"/>
          <w:color w:val="000000"/>
          <w:sz w:val="20"/>
          <w:szCs w:val="20"/>
        </w:rPr>
        <w:t xml:space="preserve"> </w:t>
      </w:r>
      <w:r>
        <w:rPr>
          <w:rFonts w:ascii="Arial Black" w:hAnsi="Arial Black" w:cs="Arial Black"/>
          <w:color w:val="000000"/>
          <w:sz w:val="20"/>
          <w:szCs w:val="20"/>
        </w:rPr>
        <w:t xml:space="preserve"> тренинга и тренажера «построение картинок» на   частоту сердечных сокращений у людей 60-80 лет.</w:t>
      </w:r>
    </w:p>
    <w:tbl>
      <w:tblPr>
        <w:tblpPr w:leftFromText="180" w:rightFromText="180" w:vertAnchor="text" w:horzAnchor="margin" w:tblpY="15"/>
        <w:tblW w:w="6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99"/>
        <w:gridCol w:w="2268"/>
      </w:tblGrid>
      <w:tr w:rsidR="00B045FB" w:rsidRPr="007665D6" w:rsidTr="0023107F">
        <w:trPr>
          <w:trHeight w:val="321"/>
        </w:trPr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7665D6" w:rsidRDefault="00B045FB" w:rsidP="002310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5D6">
              <w:rPr>
                <w:rFonts w:ascii="Times New Roman" w:hAnsi="Times New Roman" w:cs="Times New Roman"/>
                <w:color w:val="000000"/>
              </w:rPr>
              <w:t xml:space="preserve">Сравнительный анализ ЧСС до и </w:t>
            </w:r>
            <w:proofErr w:type="gramStart"/>
            <w:r w:rsidRPr="007665D6">
              <w:rPr>
                <w:rFonts w:ascii="Times New Roman" w:hAnsi="Times New Roman" w:cs="Times New Roman"/>
                <w:color w:val="000000"/>
              </w:rPr>
              <w:t xml:space="preserve">после  </w:t>
            </w:r>
            <w:r w:rsidRPr="007665D6">
              <w:rPr>
                <w:rFonts w:ascii="Times New Roman" w:hAnsi="Times New Roman" w:cs="Times New Roman"/>
                <w:color w:val="000000"/>
                <w:lang w:val="en-US"/>
              </w:rPr>
              <w:t>VR</w:t>
            </w:r>
            <w:proofErr w:type="gramEnd"/>
            <w:r w:rsidRPr="007665D6">
              <w:rPr>
                <w:rFonts w:ascii="Times New Roman" w:hAnsi="Times New Roman" w:cs="Times New Roman"/>
                <w:color w:val="000000"/>
              </w:rPr>
              <w:t xml:space="preserve"> тренингов и «построение картинок» </w:t>
            </w:r>
          </w:p>
        </w:tc>
      </w:tr>
      <w:tr w:rsidR="00B045FB" w:rsidRPr="00C867D1" w:rsidTr="0023107F">
        <w:trPr>
          <w:trHeight w:val="3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C867D1" w:rsidRDefault="00B045FB" w:rsidP="002310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«построение картинок</w:t>
            </w:r>
            <w:r w:rsidRPr="00C86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7665D6" w:rsidRDefault="00B045FB" w:rsidP="002310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76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71,7±8,5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7665D6" w:rsidRDefault="00B045FB" w:rsidP="002310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76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82,6±9,3</w:t>
            </w:r>
          </w:p>
        </w:tc>
      </w:tr>
      <w:tr w:rsidR="00B045FB" w:rsidRPr="00C867D1" w:rsidTr="0023107F">
        <w:trPr>
          <w:trHeight w:val="3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C867D1" w:rsidRDefault="00B045FB" w:rsidP="002310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тренинг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7665D6" w:rsidRDefault="00B045FB" w:rsidP="002310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76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  <w:r w:rsidRPr="0076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±10,</w:t>
            </w:r>
            <w:r w:rsidRPr="0076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FB" w:rsidRPr="007665D6" w:rsidRDefault="00B045FB" w:rsidP="002310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76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92,6±12,5</w:t>
            </w:r>
          </w:p>
        </w:tc>
      </w:tr>
    </w:tbl>
    <w:p w:rsidR="00B045FB" w:rsidRDefault="00B045FB" w:rsidP="00B045FB">
      <w:pPr>
        <w:pStyle w:val="a3"/>
        <w:rPr>
          <w:b/>
        </w:rPr>
      </w:pPr>
    </w:p>
    <w:p w:rsidR="00B045FB" w:rsidRDefault="00B045FB" w:rsidP="00B045FB">
      <w:pPr>
        <w:pStyle w:val="a3"/>
        <w:rPr>
          <w:b/>
        </w:rPr>
      </w:pPr>
    </w:p>
    <w:p w:rsidR="00B045FB" w:rsidRDefault="00B045FB" w:rsidP="00B045FB">
      <w:pPr>
        <w:pStyle w:val="a3"/>
        <w:rPr>
          <w:b/>
        </w:rPr>
      </w:pPr>
    </w:p>
    <w:p w:rsidR="00B045FB" w:rsidRDefault="00B045FB" w:rsidP="00B045FB">
      <w:pPr>
        <w:pStyle w:val="a3"/>
        <w:rPr>
          <w:b/>
        </w:rPr>
      </w:pPr>
    </w:p>
    <w:p w:rsidR="00B045FB" w:rsidRDefault="00B045FB" w:rsidP="00B045FB">
      <w:pPr>
        <w:pStyle w:val="a3"/>
        <w:rPr>
          <w:b/>
        </w:rPr>
      </w:pPr>
    </w:p>
    <w:p w:rsidR="00B045FB" w:rsidRDefault="00B045FB" w:rsidP="00B045FB">
      <w:pPr>
        <w:pStyle w:val="a3"/>
        <w:rPr>
          <w:b/>
        </w:rPr>
      </w:pPr>
    </w:p>
    <w:p w:rsidR="00B045FB" w:rsidRDefault="00B045FB" w:rsidP="00B045FB">
      <w:pPr>
        <w:pStyle w:val="a3"/>
        <w:rPr>
          <w:b/>
        </w:rPr>
      </w:pPr>
    </w:p>
    <w:p w:rsidR="00B045FB" w:rsidRDefault="00B045FB" w:rsidP="00B045FB">
      <w:pPr>
        <w:pStyle w:val="a3"/>
      </w:pPr>
      <w:r w:rsidRPr="006C19D9">
        <w:rPr>
          <w:b/>
        </w:rPr>
        <w:t>Заключение.</w:t>
      </w:r>
      <w:r w:rsidRPr="004660FD">
        <w:t xml:space="preserve"> </w:t>
      </w:r>
    </w:p>
    <w:p w:rsidR="00B045FB" w:rsidRDefault="00B045FB" w:rsidP="00B045FB">
      <w:pPr>
        <w:pStyle w:val="a3"/>
        <w:jc w:val="both"/>
      </w:pPr>
      <w:r>
        <w:t xml:space="preserve">Курс </w:t>
      </w:r>
      <w:r>
        <w:rPr>
          <w:lang w:val="en-US"/>
        </w:rPr>
        <w:t>VR</w:t>
      </w:r>
      <w:r w:rsidRPr="006C19D9">
        <w:t xml:space="preserve"> </w:t>
      </w:r>
      <w:r>
        <w:t xml:space="preserve">реабилитации способствует снижению выраженности СХУ у людей в возрасте 60-80 лет. В группе </w:t>
      </w:r>
      <w:r>
        <w:rPr>
          <w:lang w:val="en-US"/>
        </w:rPr>
        <w:t>VR</w:t>
      </w:r>
      <w:r w:rsidRPr="006C19D9">
        <w:t xml:space="preserve"> </w:t>
      </w:r>
      <w:r>
        <w:t>реабилитации регистрируются лучшие параметры управляемостью балансом. Когнитивный тренинг «построение картинок» улучшает управляемость балансом в основной и контрольной группах, что также указывает на потенциальные возможности использования тренажера как самостоятельного метода реабилитации в</w:t>
      </w:r>
      <w:r w:rsidR="002E717C">
        <w:t xml:space="preserve"> большей степени двигательных, </w:t>
      </w:r>
      <w:proofErr w:type="spellStart"/>
      <w:r>
        <w:t>координаторных</w:t>
      </w:r>
      <w:proofErr w:type="spellEnd"/>
      <w:r w:rsidR="002E717C">
        <w:t xml:space="preserve"> и когнитивных</w:t>
      </w:r>
      <w:r>
        <w:t xml:space="preserve"> расстройствах у пожилых людей. </w:t>
      </w:r>
      <w:r>
        <w:rPr>
          <w:lang w:val="en-US"/>
        </w:rPr>
        <w:t>VR</w:t>
      </w:r>
      <w:r>
        <w:t xml:space="preserve"> системы при отсутствии противопоказаний в определенных условиях могут </w:t>
      </w:r>
      <w:proofErr w:type="gramStart"/>
      <w:r>
        <w:t>применяться  для</w:t>
      </w:r>
      <w:proofErr w:type="gramEnd"/>
      <w:r>
        <w:t xml:space="preserve"> тренировки </w:t>
      </w:r>
      <w:proofErr w:type="spellStart"/>
      <w:r>
        <w:t>кардиоресператорной</w:t>
      </w:r>
      <w:proofErr w:type="spellEnd"/>
      <w:r>
        <w:t xml:space="preserve"> системы, которая, как известно, является, самостоятельным фактором уменьшающим</w:t>
      </w:r>
      <w:r w:rsidRPr="004660FD">
        <w:t xml:space="preserve"> признаки </w:t>
      </w:r>
      <w:r>
        <w:t xml:space="preserve">СХУ, что </w:t>
      </w:r>
      <w:r w:rsidRPr="004660FD">
        <w:t>согласуется с результатами других исследователей</w:t>
      </w:r>
      <w:r w:rsidRPr="00FB57BC">
        <w:t xml:space="preserve"> [8</w:t>
      </w:r>
      <w:r>
        <w:t xml:space="preserve">]. Таким образом VR система, это экономически доступная альтернатива дорогостоящей реабилитации, которая позволяет улучшить </w:t>
      </w:r>
      <w:proofErr w:type="spellStart"/>
      <w:r>
        <w:t>комплаенс</w:t>
      </w:r>
      <w:proofErr w:type="spellEnd"/>
      <w:r>
        <w:t xml:space="preserve"> и персонализировать восстановительное лечение. </w:t>
      </w:r>
    </w:p>
    <w:p w:rsidR="00B045FB" w:rsidRDefault="00B045FB" w:rsidP="00B045FB">
      <w:pPr>
        <w:pStyle w:val="a3"/>
        <w:rPr>
          <w:b/>
          <w:lang w:val="en-US"/>
        </w:rPr>
      </w:pPr>
      <w:r w:rsidRPr="00176825">
        <w:rPr>
          <w:b/>
        </w:rPr>
        <w:t>Список</w:t>
      </w:r>
      <w:r w:rsidRPr="00752A49">
        <w:rPr>
          <w:b/>
          <w:lang w:val="en-US"/>
        </w:rPr>
        <w:t xml:space="preserve"> </w:t>
      </w:r>
      <w:r w:rsidRPr="00176825">
        <w:rPr>
          <w:b/>
        </w:rPr>
        <w:t>литературы</w:t>
      </w:r>
      <w:r w:rsidRPr="00752A49">
        <w:rPr>
          <w:b/>
          <w:lang w:val="en-US"/>
        </w:rPr>
        <w:t>.</w:t>
      </w:r>
    </w:p>
    <w:p w:rsidR="00B53743" w:rsidRPr="00752A49" w:rsidRDefault="00B53743" w:rsidP="00B045FB">
      <w:pPr>
        <w:pStyle w:val="a3"/>
        <w:rPr>
          <w:b/>
          <w:lang w:val="en-US"/>
        </w:rPr>
      </w:pPr>
      <w:bookmarkStart w:id="0" w:name="_GoBack"/>
      <w:bookmarkEnd w:id="0"/>
    </w:p>
    <w:p w:rsidR="00B045FB" w:rsidRPr="00176825" w:rsidRDefault="00B045FB" w:rsidP="00B045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Mehrholz J.,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Elsner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B., Thomas S.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Virtuelle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Realität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Was </w:t>
      </w:r>
      <w:proofErr w:type="spellStart"/>
      <w:proofErr w:type="gram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Einsatz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 </w:t>
      </w:r>
      <w:proofErr w:type="spellStart"/>
      <w:r w:rsidRPr="001768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Neuroreha</w:t>
      </w:r>
      <w:proofErr w:type="spellEnd"/>
      <w:r w:rsidRPr="0017682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 </w:t>
      </w:r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2017</w:t>
      </w:r>
      <w:proofErr w:type="gram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;9:9</w:t>
      </w:r>
      <w:proofErr w:type="gram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–14. </w:t>
      </w:r>
      <w:proofErr w:type="spellStart"/>
      <w:proofErr w:type="gram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10.1055/s-0042-124244.</w:t>
      </w:r>
    </w:p>
    <w:p w:rsidR="00B045FB" w:rsidRDefault="00B045FB" w:rsidP="00B045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Büro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Für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Technikfolgenabschätzung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Beim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Deutschen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Bundestag. [(</w:t>
      </w:r>
      <w:proofErr w:type="gram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accessed</w:t>
      </w:r>
      <w:proofErr w:type="gram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13 March 2022)]. Available online: </w:t>
      </w:r>
      <w:hyperlink r:id="rId4" w:tgtFrame="_blank" w:history="1">
        <w:r w:rsidRPr="0017682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https://publikationen.bibliothek.kit.edu/1000134066</w:t>
        </w:r>
      </w:hyperlink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B045FB" w:rsidRDefault="00B045FB" w:rsidP="00B045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Conrad CD. Chronic stress-induced hippocampal vulnerability: the glucocorticoid vulnerability hypothesis. Rev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Neurosci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2008</w:t>
      </w:r>
      <w:proofErr w:type="gram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;19</w:t>
      </w:r>
      <w:proofErr w:type="gram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(6):395-411. </w:t>
      </w:r>
      <w:proofErr w:type="spellStart"/>
      <w:proofErr w:type="gram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proofErr w:type="gram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10.1515/revneuro.2008.19.6.395. PMI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D: 19317179; PMCID: PMC2746750.</w:t>
      </w:r>
    </w:p>
    <w:p w:rsidR="00B045FB" w:rsidRPr="00752A49" w:rsidRDefault="00B045FB" w:rsidP="00B045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</w:t>
      </w:r>
      <w:r w:rsidRPr="00176825">
        <w:rPr>
          <w:sz w:val="18"/>
          <w:szCs w:val="18"/>
          <w:lang w:val="en-US"/>
        </w:rPr>
        <w:t xml:space="preserve"> </w:t>
      </w:r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Hessen C,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Nawrath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L, Reich N, Schulz KH, </w:t>
      </w:r>
      <w:proofErr w:type="gram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Gold</w:t>
      </w:r>
      <w:proofErr w:type="gram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SM. Fatigue in multiple sclerosis: an example of cytokine mediated sickness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behaviour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J. </w:t>
      </w:r>
      <w:proofErr w:type="spellStart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NeurolNeurosurgPsychitr</w:t>
      </w:r>
      <w:proofErr w:type="spellEnd"/>
      <w:r w:rsidRPr="001768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2006; 77:34-39. </w:t>
      </w:r>
      <w:proofErr w:type="spellStart"/>
      <w:r w:rsidRPr="00752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752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10.1136/</w:t>
      </w:r>
      <w:proofErr w:type="spellStart"/>
      <w:r w:rsidRPr="00752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jnnp</w:t>
      </w:r>
      <w:proofErr w:type="spellEnd"/>
      <w:r w:rsidRPr="00752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</w:t>
      </w:r>
    </w:p>
    <w:p w:rsidR="00B045FB" w:rsidRPr="00752A49" w:rsidRDefault="00B045FB" w:rsidP="00B045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632AF"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Елагина</w:t>
      </w:r>
      <w:proofErr w:type="spellEnd"/>
      <w:proofErr w:type="gramEnd"/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Яхно</w:t>
      </w:r>
      <w:proofErr w:type="spellEnd"/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утомляемости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типах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течения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рассеянного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склероза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</w:t>
      </w:r>
      <w:proofErr w:type="spellEnd"/>
      <w:r w:rsidRPr="00752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</w:t>
      </w:r>
      <w:r w:rsidRPr="00752A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.2012; 3:12-19</w:t>
      </w:r>
    </w:p>
    <w:p w:rsidR="00B045FB" w:rsidRDefault="00B045FB" w:rsidP="00B045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</w:t>
      </w:r>
      <w:r w:rsidRPr="00FB57BC">
        <w:rPr>
          <w:lang w:val="en-US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multiple sclerosis quality of life inventory: A User s Manual.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National </w:t>
      </w:r>
      <w:proofErr w:type="spellStart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Multiple</w:t>
      </w:r>
      <w:proofErr w:type="spellEnd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Sclerosis</w:t>
      </w:r>
      <w:proofErr w:type="spellEnd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1999; p.3</w:t>
      </w:r>
    </w:p>
    <w:p w:rsidR="00B045FB" w:rsidRDefault="00B045FB" w:rsidP="00B045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B57BC">
        <w:t xml:space="preserve"> </w:t>
      </w:r>
      <w:proofErr w:type="spellStart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Бахарев</w:t>
      </w:r>
      <w:proofErr w:type="spellEnd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Статистическая обработка данных. Критерии проверки данных. Пакет программ «статистика», материалы по математическому обеспечению ЭВМ. Сб.трудов,-</w:t>
      </w:r>
      <w:proofErr w:type="gramStart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г.Пущино.,</w:t>
      </w:r>
      <w:proofErr w:type="gramEnd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-1989.- выпуск 15,- 34 с</w:t>
      </w:r>
    </w:p>
    <w:p w:rsidR="00B045FB" w:rsidRDefault="00B045FB" w:rsidP="00B045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632AF"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Zwarts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MJ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Bleijenberg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van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Engelen</w:t>
      </w:r>
      <w:proofErr w:type="spellEnd"/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BG</w:t>
      </w:r>
      <w:r w:rsidRPr="00C6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linical neurophysiology of fatigue»,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linical neurophysiology, </w:t>
      </w:r>
      <w:proofErr w:type="spellStart"/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proofErr w:type="spellEnd"/>
      <w:r w:rsidRPr="00FB57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.119.no. I .pp.2-10. </w:t>
      </w:r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2008. View </w:t>
      </w:r>
      <w:proofErr w:type="spellStart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57BC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5FB" w:rsidRPr="00752A49" w:rsidRDefault="00B045FB" w:rsidP="00B045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FB" w:rsidRPr="00752A49" w:rsidRDefault="00B045FB" w:rsidP="00B045FB">
      <w:pPr>
        <w:pStyle w:val="a3"/>
        <w:rPr>
          <w:b/>
        </w:rPr>
      </w:pPr>
    </w:p>
    <w:p w:rsidR="00B045FB" w:rsidRPr="00752A49" w:rsidRDefault="00B045FB" w:rsidP="00B045FB">
      <w:pPr>
        <w:pStyle w:val="a3"/>
        <w:jc w:val="both"/>
      </w:pPr>
    </w:p>
    <w:p w:rsidR="00B045FB" w:rsidRPr="00752A49" w:rsidRDefault="00B045FB" w:rsidP="00B045FB"/>
    <w:p w:rsidR="00BE6F0F" w:rsidRDefault="00BE6F0F"/>
    <w:sectPr w:rsidR="00BE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A4"/>
    <w:rsid w:val="00096A0F"/>
    <w:rsid w:val="00170BA4"/>
    <w:rsid w:val="002E717C"/>
    <w:rsid w:val="003E724A"/>
    <w:rsid w:val="005A03BA"/>
    <w:rsid w:val="00B045FB"/>
    <w:rsid w:val="00B53743"/>
    <w:rsid w:val="00BE6F0F"/>
    <w:rsid w:val="00C632AF"/>
    <w:rsid w:val="00E71FD3"/>
    <w:rsid w:val="00ED2718"/>
    <w:rsid w:val="00F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EF836-1362-49B2-BC8F-008483E5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kationen.bibliothek.kit.edu/1000134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2022-11-10T13:59:00Z</dcterms:created>
  <dcterms:modified xsi:type="dcterms:W3CDTF">2022-11-12T14:52:00Z</dcterms:modified>
</cp:coreProperties>
</file>