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437" w:type="dxa"/>
        <w:jc w:val="left"/>
        <w:tblInd w:w="100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437"/>
      </w:tblGrid>
      <w:tr>
        <w:trPr/>
        <w:tc>
          <w:tcPr>
            <w:tcW w:w="4437" w:type="dxa"/>
            <w:tcBorders/>
          </w:tcPr>
          <w:p>
            <w:pPr>
              <w:pStyle w:val="12"/>
              <w:widowControl w:val="false"/>
              <w:spacing w:lineRule="auto" w:line="2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УТВЕРЖДАЮ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департамента социального развития Тюменской области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_________________ Д.В.Грамотин</w:t>
            </w:r>
          </w:p>
          <w:p>
            <w:pPr>
              <w:pStyle w:val="12"/>
              <w:widowControl w:val="false"/>
              <w:spacing w:lineRule="auto" w:line="24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«____» _________________</w:t>
            </w:r>
            <w:r>
              <w:rPr>
                <w:color w:val="auto"/>
                <w:sz w:val="24"/>
                <w:szCs w:val="24"/>
              </w:rPr>
              <w:t xml:space="preserve"> 2022г.</w:t>
            </w:r>
          </w:p>
        </w:tc>
      </w:tr>
    </w:tbl>
    <w:p>
      <w:pPr>
        <w:pStyle w:val="12"/>
        <w:spacing w:lineRule="auto" w:line="240"/>
        <w:ind w:firstLine="70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12"/>
        <w:spacing w:lineRule="auto" w:line="240"/>
        <w:ind w:firstLine="70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Дорожная карта «Развитие добровольчества (волонтерства) среди граждан старшего возраста </w:t>
      </w:r>
    </w:p>
    <w:p>
      <w:pPr>
        <w:pStyle w:val="12"/>
        <w:spacing w:lineRule="auto" w:line="240"/>
        <w:ind w:firstLine="70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 Тюменской области  на 2022– 2025 годы»</w:t>
      </w:r>
    </w:p>
    <w:p>
      <w:pPr>
        <w:pStyle w:val="12"/>
        <w:spacing w:lineRule="auto" w:line="240"/>
        <w:ind w:firstLine="72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12"/>
        <w:spacing w:lineRule="auto" w:line="240"/>
        <w:ind w:firstLine="72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en-US"/>
        </w:rPr>
        <w:t>I</w:t>
      </w:r>
      <w:r>
        <w:rPr>
          <w:b/>
          <w:color w:val="auto"/>
          <w:sz w:val="24"/>
          <w:szCs w:val="24"/>
        </w:rPr>
        <w:t>. Общие положения</w:t>
      </w:r>
    </w:p>
    <w:p>
      <w:pPr>
        <w:pStyle w:val="Western"/>
        <w:numPr>
          <w:ilvl w:val="0"/>
          <w:numId w:val="0"/>
        </w:numPr>
        <w:tabs>
          <w:tab w:val="clear" w:pos="720"/>
          <w:tab w:val="left" w:pos="850" w:leader="none"/>
        </w:tabs>
        <w:spacing w:lineRule="auto" w:line="240" w:before="0" w:after="0"/>
        <w:ind w:left="0" w:firstLine="709"/>
        <w:jc w:val="both"/>
        <w:outlineLvl w:val="2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12"/>
        <w:spacing w:lineRule="auto" w:line="240"/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Дорожная карта «Развитие добровольчества (волонтерства) среди граждан старшего возраста в Тюменской области  на 2022 – 2025 годы» (далее – Дорожная карта) разработана в соответствии </w:t>
      </w:r>
      <w:r>
        <w:rPr>
          <w:rFonts w:eastAsia="Times New Roman"/>
          <w:sz w:val="24"/>
          <w:szCs w:val="24"/>
        </w:rPr>
        <w:t xml:space="preserve">планом мероприятий на 2021-2025 годы по реализации второго этапа Стратегии </w:t>
      </w:r>
      <w:r>
        <w:rPr>
          <w:color w:val="auto"/>
          <w:sz w:val="24"/>
          <w:szCs w:val="24"/>
        </w:rPr>
        <w:t>действий  в интересах граждан старшего поко</w:t>
      </w:r>
      <w:r>
        <w:rPr>
          <w:sz w:val="24"/>
          <w:szCs w:val="24"/>
        </w:rPr>
        <w:t xml:space="preserve">ления в Российской Федерации до 2025 года, утвержденным распоряжением Правительства РФ </w:t>
      </w:r>
      <w:r>
        <w:rPr>
          <w:rFonts w:eastAsia="Times New Roman"/>
          <w:sz w:val="24"/>
          <w:szCs w:val="24"/>
        </w:rPr>
        <w:t>от 23.06.2021 № 1692-р</w:t>
      </w:r>
      <w:r>
        <w:rPr>
          <w:sz w:val="24"/>
          <w:szCs w:val="24"/>
        </w:rPr>
        <w:t>. Соответствует основным направлениям регионального проекта «Старшее поколение» национального проекта «Демография» и является одним из ведущих направлений развития активного долголетия, повышения качества, продолжительности жизни, решения социально-демографических проблем в России.</w:t>
      </w:r>
    </w:p>
    <w:p>
      <w:pPr>
        <w:pStyle w:val="12"/>
        <w:spacing w:lineRule="auto" w:line="240"/>
        <w:ind w:firstLine="720"/>
        <w:jc w:val="both"/>
        <w:rPr/>
      </w:pPr>
      <w:r>
        <w:rPr>
          <w:sz w:val="24"/>
          <w:szCs w:val="24"/>
        </w:rPr>
        <w:t>Разработка и реализация настоящей Дорожной карты нацелена на создание и обеспечение единой эффективной системы развития и поддержки добровольчества (волонтерства) среди граждан старшего возраста (или «серебряного» добровольчества (волонтерства), опирающейся на взаимодействие государственных органов и учреждений, некоммерческих организаций и бизнеса,  повышение качества  жизни граждан старшего возраста через развитие их добровольческой (волонтерской)  активности.</w:t>
      </w:r>
    </w:p>
    <w:p>
      <w:pPr>
        <w:pStyle w:val="12"/>
        <w:spacing w:lineRule="auto" w:line="240"/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Реализация Дорожной карты позволит </w:t>
      </w:r>
      <w:r>
        <w:rPr>
          <w:sz w:val="24"/>
          <w:szCs w:val="24"/>
          <w:shd w:fill="FFFFFF" w:val="clear"/>
        </w:rPr>
        <w:t xml:space="preserve">создать комплексную систему поддержки развития волонтерской деятельности граждан старшего возраста, а также </w:t>
      </w:r>
      <w:r>
        <w:rPr>
          <w:color w:val="auto"/>
          <w:sz w:val="24"/>
          <w:szCs w:val="24"/>
        </w:rPr>
        <w:t>популяризировать добровольчество (волонтерство) среди лиц старшего возраста</w:t>
      </w:r>
      <w:r>
        <w:rPr>
          <w:sz w:val="24"/>
          <w:szCs w:val="24"/>
          <w:shd w:fill="FFFFFF" w:val="clear"/>
        </w:rPr>
        <w:t>, повысить качество жизни пожилых людей.</w:t>
      </w:r>
    </w:p>
    <w:p>
      <w:pPr>
        <w:pStyle w:val="12"/>
        <w:spacing w:lineRule="auto" w:line="240"/>
        <w:ind w:firstLine="720"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12"/>
        <w:spacing w:lineRule="auto" w:line="240"/>
        <w:ind w:firstLine="720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Основная цель</w:t>
      </w:r>
      <w:r>
        <w:rPr>
          <w:color w:val="auto"/>
          <w:sz w:val="24"/>
          <w:szCs w:val="24"/>
        </w:rPr>
        <w:t xml:space="preserve"> Дорожной карты – формирование мер по реинжинирингу системы  развития и поддержки добровольчества (волонтерства) среди граждан старшего возраста в Тюменской области.</w:t>
      </w:r>
    </w:p>
    <w:p>
      <w:pPr>
        <w:pStyle w:val="12"/>
        <w:spacing w:lineRule="auto" w:line="240"/>
        <w:ind w:firstLine="720"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Основные задачи Дорожной карты:</w:t>
      </w:r>
    </w:p>
    <w:p>
      <w:pPr>
        <w:pStyle w:val="12"/>
        <w:spacing w:lineRule="auto" w:line="24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Задача 1. Ведение системы мониторинга и оценки развития «серебряного» добровольчества (волонтерства) среди граждан старшего возраста.</w:t>
      </w:r>
    </w:p>
    <w:p>
      <w:pPr>
        <w:pStyle w:val="12"/>
        <w:spacing w:lineRule="auto" w:line="24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Задача 2. Организационно-методическое обеспечение  и   ресурсная поддержка «серебряного» добровольчества (волонтерства).</w:t>
      </w:r>
    </w:p>
    <w:p>
      <w:pPr>
        <w:pStyle w:val="12"/>
        <w:spacing w:lineRule="auto" w:line="240"/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Задача 3. Создание необходимых условий по формированию инфраструктуры для участия граждан старшего поколения в добровольческой деятельности.</w:t>
      </w:r>
    </w:p>
    <w:p>
      <w:pPr>
        <w:pStyle w:val="12"/>
        <w:spacing w:lineRule="auto" w:line="24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Задача 4. Совершенствование межведомственного взаимодействия в сфере развития «серебряного» добровольчества (волонтерства).</w:t>
      </w:r>
    </w:p>
    <w:p>
      <w:pPr>
        <w:pStyle w:val="12"/>
        <w:spacing w:lineRule="auto" w:line="24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Задача 5. Привлечение  граждан старшего поколения к  добровольческой (волонтерской) деятельности.</w:t>
      </w:r>
    </w:p>
    <w:p>
      <w:pPr>
        <w:pStyle w:val="12"/>
        <w:spacing w:lineRule="auto" w:line="24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Задача  6. Организация  обучения  «серебряных» добровольцев (волонтеров) и актива «серебряного»  добровольческого (волонтерского) движения в Тюменской области.</w:t>
      </w:r>
    </w:p>
    <w:p>
      <w:pPr>
        <w:pStyle w:val="12"/>
        <w:spacing w:lineRule="auto" w:line="24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Задача 7. Привлечение  «серебряных» волонтеров  к  реализации типовой модели системы долговременного ухода за гражданами пожилого возраста и инвалидами.</w:t>
      </w:r>
      <w:bookmarkStart w:id="0" w:name="sub_1202"/>
      <w:bookmarkEnd w:id="0"/>
    </w:p>
    <w:p>
      <w:pPr>
        <w:pStyle w:val="12"/>
        <w:spacing w:lineRule="auto" w:line="24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Задача 8.Совершенствование уровня теоретической</w:t>
      </w:r>
      <w:r>
        <w:rPr>
          <w:sz w:val="24"/>
          <w:szCs w:val="24"/>
        </w:rPr>
        <w:t xml:space="preserve"> и практической подготовки «серебряных» добровольцев для содействия профессиональным службам в сфере социального обслуживания и социальной поддержки населения.</w:t>
      </w:r>
    </w:p>
    <w:p>
      <w:pPr>
        <w:pStyle w:val="12"/>
        <w:spacing w:lineRule="auto" w:line="24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Задача  9. Создание единой  системы  стимулирования  деятельности «серебряных» добровольцев (волонтеров) в Тюменской области.</w:t>
      </w:r>
    </w:p>
    <w:p>
      <w:pPr>
        <w:pStyle w:val="12"/>
        <w:spacing w:lineRule="auto" w:lin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10. Информационное сопровождение «серебряного» добровольчества (волонтерства).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2"/>
        <w:spacing w:lineRule="auto" w:line="240"/>
        <w:ind w:firstLine="72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en-US"/>
        </w:rPr>
        <w:t>II</w:t>
      </w:r>
      <w:r>
        <w:rPr>
          <w:b/>
          <w:color w:val="auto"/>
          <w:sz w:val="24"/>
          <w:szCs w:val="24"/>
        </w:rPr>
        <w:t>. Мероприятия  Дорожной карты</w:t>
      </w:r>
    </w:p>
    <w:p>
      <w:pPr>
        <w:pStyle w:val="12"/>
        <w:spacing w:lineRule="auto" w:line="240"/>
        <w:ind w:firstLine="72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tbl>
      <w:tblPr>
        <w:tblW w:w="15026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23"/>
        <w:gridCol w:w="6"/>
        <w:gridCol w:w="4900"/>
        <w:gridCol w:w="1923"/>
        <w:gridCol w:w="143"/>
        <w:gridCol w:w="24"/>
        <w:gridCol w:w="3235"/>
        <w:gridCol w:w="110"/>
        <w:gridCol w:w="24"/>
        <w:gridCol w:w="3838"/>
      </w:tblGrid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>
        <w:trPr/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1.  Ведение системы мониторинга и оценки развития «серебряного» добровольчества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(волонтерства) среди граждан старшего возраста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реестра  организаций и учреждений  различных ведомств, СО НКО,  ведущих деятельность по вовлечению граждан старшего возраста в добровольческую (волонтерскую) деятельность и реализующих проекты, мероприятия с участием «серебряных» волонтеров в Тюменской области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реже одного раза в год)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актуальной систематизированной базы данных организаций и учреждений, работающих по направлению развития волонтерского движения среди граждан старшего возраста, в Тюменской области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 органы исполнительной власти Тюменской области (по согласованию);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деятельности представительств  добровольческого (волонтерского) движения среди граждан старшего возраста  в Тюменской области (в том числе филиалов Областной Штаб-квартиры «серебряного» добровольчества)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 (в течение всего срока реализации)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ежеквартального отчета о текущем состоянии  добровольческого (волонтерского)движения среди граждан старшего возраста  в Тюменской области с целью выработки эффективных управленческих решений   по обеспечению его развития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 АУ СОН ТО и ДПО «Региональный центр активного долголетия, геронтологии и реабилитации»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анализ целевых показателей деятельности представительств 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добровольчества), формирование их рейтинга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реже двух раз в год)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аналитического обзора результатов деятельности, в том числе с указанием рейтинга эффективности среди представительств добровольческого (волонтерского) движения среди граждан старшего возраста  в Тюменской области(филиалов Областной Штаб-квартиры «серебряного» добровольчества)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перспектив развития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 с использованием методики </w:t>
            </w:r>
            <w:r>
              <w:rPr>
                <w:sz w:val="24"/>
                <w:szCs w:val="24"/>
                <w:lang w:val="en-US"/>
              </w:rPr>
              <w:t>SWOT</w:t>
            </w:r>
            <w:r>
              <w:rPr>
                <w:sz w:val="24"/>
                <w:szCs w:val="24"/>
              </w:rPr>
              <w:t>-анализа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реже одного раза в год)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данных аналитического обзора деятельности представительств добровольческого (волонтерского) движения среди граждан старшего возраста  в Тюменской области(филиалов Областной Штаб-квартиры «серебряного» добровольчества) с целью определения перспективных направлений развития при  проведении стратегического планирования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барьерной среды в организации эффективной работы деятельности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реже одного раза в год)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информации о наличии (отсутствии) проблемных зон, влияющих на эффективное выполнение мероприятий в части развития «серебряного» добровольчества (волонтерства)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 АУ СОН ТО и ДПО «Региональный центр активного долголетия, геронтологии и реабилитации»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Выездной мониторинг текущей деятельности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(ежеквартально, в течение всего срока реализации)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 xml:space="preserve">Формирование аналитического отчёта об особенностях  функционирования и стиля работы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добровольчества), с целью выбора тактик повышения качества </w:t>
            </w:r>
            <w:hyperlink r:id="rId2" w:tgtFrame="Менеджмент качества">
              <w:r>
                <w:rPr>
                  <w:sz w:val="24"/>
                  <w:szCs w:val="24"/>
                </w:rPr>
                <w:t xml:space="preserve">менеджмента </w:t>
              </w:r>
            </w:hyperlink>
            <w:r>
              <w:rPr>
                <w:sz w:val="24"/>
                <w:szCs w:val="24"/>
              </w:rPr>
              <w:t> и эффективного развития волонтерского (добровольческого) актива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ВКС-собеседования с руководителями представительств добровольческого (волонтерского) движения среди граждан старшего возраста  (филиалов Областной Штаб-квартиры «серебряного» добровольчества)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реже одного раза в полугодие в течение всего срока реализации)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актуальной информации о ходе реализации программы развития «серебряного» добровольчества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Выявление, отбор, описание и тиражирование успешных практик и инициатив по реализации добровольческих проектов «серебряных» волонтеров в Тюменской области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реже одного раза в год)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кейса успешных практик и инициатив по реализации добровольческих проектов «серебряных» волонтеров в Тюменской области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</w:t>
            </w:r>
          </w:p>
        </w:tc>
      </w:tr>
      <w:tr>
        <w:trPr/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2. Организационно-методическое обеспечение  и   ресурсная поддержка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«серебряного» добровольчества (волонтерства)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Областного адвент календаря мероприятий Тюменской области по участию «серебряных» волонтеров в областных проектах и поддержке  добровольчества (волонтерства) среди граждан старшего возраста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30 декабря предшествую-щего  года)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способствующих развитию добровольчества (волонтерства) среди граждан старшего возраста, в формате дней единых действий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</w:t>
            </w:r>
          </w:p>
          <w:p>
            <w:pPr>
              <w:pStyle w:val="Standard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/>
              <w:ind w:hanging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Департамента физической культуры, спорта и дополнительного образования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здравоохранения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культуры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НКО; организации и учреждения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консультационного центра для представительств добровольческого (волонтерского) движения среди граждан старшего возраста в Тюменской области (филиалов Областной Штаб-квартиры «серебряного» добровольчества)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деятельности центра консультационной поддержки по вопросам развития добровольчества (волонтерства) среди граждан старшего возраста, (филиалов Областной Штаб-квартиры «серебряного» добровольчества)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tabs>
                <w:tab w:val="clear" w:pos="720"/>
                <w:tab w:val="left" w:pos="0" w:leader="none"/>
                <w:tab w:val="left" w:pos="1134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</w:t>
            </w:r>
          </w:p>
        </w:tc>
      </w:tr>
      <w:tr>
        <w:trPr>
          <w:trHeight w:val="4427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центра поддержки социального проектирования «Проектный цех» в сфере добровольчества (волонтерства) среди граждан старшего поколения в Тюменской области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центра  поддержки социального проектирования, в т.ч. создание системы менторского сопровождения проектов добровольчества (волонтерства) среди граждан старшего возраста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пакета правовых и методических документов, обеспечивающих реализацию деятельности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реже одного раза в год)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правовых и организационных условий  организации  добровольчества (волонтерства) среди граждан старшего возраста  в Тюменской области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зональных обучающих семинаров (вебинаров), стажерских площадок по развитию «серебряного» добровольчества для координаторов и тимлидеров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реже одного раза в полугодие)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комплексного  повышения компетенций координаторов и тимлидеров «серебряного» добровольчества (волонтерства)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tabs>
                <w:tab w:val="clear" w:pos="720"/>
                <w:tab w:val="left" w:pos="0" w:leader="none"/>
                <w:tab w:val="left" w:pos="1134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cs="Arial"/>
                <w:color w:val="000000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конференций (совещаний) для 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 для определения перспективных направлений развития добровольчества (волонтерства) граждан старшего возраста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реже одного раза в год)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эффективного опыта организации  добровольчества (волонтерства) среди граждан старшего возраста  в Тюменской области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социального развития Тюменской области; АУ СОН ТО и ДПО «Региональный центр активного долголетия, геронтологии и реабилитации»;  </w:t>
            </w: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кейс-лаборатории методического сопровождения добровольчества (волонтерства) среди граждан старшего возраста  в Тюменской области по формированию образовательных треков по трем направлениям: для волонтеров, для тимлидеров, для координаторов «серебряного» добровольчества (волонтерства)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рекомендаций по сопровождению добровольчества (волонтерства) среди граждан старшего возраста  в Тюменской области, включающих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практик с доказанной эффективностью на территории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системы профессиональной подготовки кадров для квалифицированной организации добровольческой  (волонтерской) деятельности и управления «серебряными» добровольцами, в том числе: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 образовательной программы для сотрудников  учреждений,  организаций  различных ведомств - координаторов «серебряного» добровольчества (волонтерства);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 учебно-методических и технологических разработок в области привлечения и управления ресурсами «серебряного» добровольчества (волонтерства), нефинансовых методов мотивирования и т.п.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2022–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 профессиональных кадров по  организации   добровольчества (волонтерства) среди граждан старшего возраста  в Тюменской области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направления экспресс-подготовки «Прокачать за три часа» для  вновь назначенных координаторов филиалов Областной Штаб-квартиры «серебряного» добровольчества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передачи методических кейсов по сопровождению добровольчества (волонтерства) среди граждан старшего возраста  в Тюменской области для координаторов  в формате трехчасового экспертного интенсива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общественных слушаний, круглых столов  и т.п. по обсуждению проблем развития и поддержки «серебряного» добровольчества (волонтерства)  с привлечением заинтересованных НКО, образовательных организаций,  представителей бизнеса, студентов и т.п.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управленческих решений по вопросам развития и поддержки добровольчества (волонтерства) среди граждан старшего возраста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Органы исполнительной власти Тюменской области (по согласованию); органы местного самоуправления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Тюменской области; СО НКО; организации и учреждения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рамках федеральной программы «Молоды душой» АВЦ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акциях и мероприятиях, организуемых АВЦ в части развития волонтерского движения среди пожилых граждан на территории региона, увеличение количества граждан старшего поколения, вовлеченных в добровольческую деятельность, получение финансовой поддержки на реализацию региональных программ по развитию серебряного добровольчества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социального развития Тюменской области; </w:t>
            </w: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</w:t>
            </w:r>
          </w:p>
          <w:p>
            <w:pPr>
              <w:pStyle w:val="Style25"/>
              <w:widowControl w:val="false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ind w:firstLine="709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3. Создание необходимых условий по формированию инфраструктуры для участия граждан старшего поколения в добровольческой деятельности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Ресурсная поддержка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добровольчества), в том числе путем участия в конкурсах грантовой поддержки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2025 гг.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необходимой  ресурсной поддержки  (представительств) Штаб-квартиры «серебряного» добровольчества в Тюменской области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Масштабирование модели волонтерского центра  поддержки добровольческого (волонтерского) движения среди граждан старшего возраста  в Тюменской области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2025 гг.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новых филиалов (представительств) Штаб-квартиры «серебряного» добровольчествав Тюменской области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брендированного мерча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унифицированной атрибутики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«Штаб-квартира «серебряного» добровольчества»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коворкинг-пространства «серебряного» добровольчества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единого пространства для ведения  деятельности  «серебряных» добровольцев (волонтеров) в г.Тюмень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добровольчества»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грантовых конкурсах по предоставлению поддержки из федеральных, местных и региональных бюджетов и внебюджетных источников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условий для предоставления ресурсной поддержки и стимулирования деятельности «серебряных» добровольцев (волонтеров)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Тюменский региональный благотворительный фонд «Старшее поколение»;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 Совершенствование   межведомственного взаимодействия в сфере развития</w:t>
            </w:r>
          </w:p>
          <w:p>
            <w:pPr>
              <w:pStyle w:val="ListParagraph"/>
              <w:widowControl w:val="false"/>
              <w:spacing w:lineRule="auto" w:line="24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«серебряного» добровольчества (волонтерства)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 вопросов развития и поддержки добровольчества (волонтерства) среди граждан старшего возраста в перечень вопросов, подлежащих обязательному рассмотрению,  на заседаниях областной межведомственной   комиссии по вопросам социальной поддержки граждан пожилого возраста и ветеранов и муниципальных комиссий по вопросам социальной поддержки граждан пожилого возраста и ветеранов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не реже одного раза в год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управленческих решений по вопросам развития и поддержки добровольчества (волонтерства) среди граждан старшего возраста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</w:t>
            </w:r>
          </w:p>
          <w:p>
            <w:pPr>
              <w:pStyle w:val="Style25"/>
              <w:widowControl w:val="false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органы местного самоуправления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Тюменской области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межотраслевого банка вакансий добровольческой (волонтерской) деятельности граждан старшего возраста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межведомственного перечня видов добровольческих работ и услуг, при  реализации которых  может быть использован  ресурс «серебряных» добровольцев (волонтеров)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</w:t>
            </w:r>
          </w:p>
          <w:p>
            <w:pPr>
              <w:pStyle w:val="Standard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/>
              <w:ind w:hanging="0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Департамента физической культуры, спорта и дополнительного образования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здравоохранения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культуры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НКО; организации и учреждения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межведомственного взаимодействия в рамках социального проектирования при создании и реализации  проектов в сфере развития движения добровольческого (волонтерского) движения среди граждан старшего возраста  в Тюменской области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2022 − 2025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межведомственных социально-значимых проектов, направленных на повышение эффективности движения добровольческого (волонтерского) движения среди граждан старшего возраста  в Тюменской области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исполнительной власти Тюменской области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экспертной инфраструктуры поддержки развития движения добровольческого (волонтерского) движения среди граждан старшего возраста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института наставничества в сфере развития добровольческого (волонтерского) движения среди граждан старшего возраста  в Тюменской области, обеспечение деятельности площадки по межсекторному обмену практиками, технологиями, повышающими доступность и качество  добровольческой помощи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исполнительной власти Тюменской области (по согласованию);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межведомственной программы мотивации и стимулирования   представителей движения добровольческого (волонтерского) движения среди граждан старшего возраста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внедрение   различных форм поощрения и стимулирования добровольческого (волонтерского) труда «серебряных» добровольцев (волонтеров) при реализации межведомственных инициатив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Выстраивание межрегионального взаимодействия в сфере  развития «серебряного» добровольчества (волонтерства)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площадки по межрегиональному обмену  разработками,  обеспечивающими положительную динамику развития «серебряного» добровольчества (волонтерства)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 Привлечение  граждан старшего поколения к  добровольческой (волонтерской) деятельности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информационной кампании  по поддержке добровольческого (волонтерского) движения среди граждан старшего возраста в рамках общественных выставок, круглых столов, слушаний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добровольческого (волонтерского) движения среди граждан старшего возраста,  партнеров и  стейкхолдеров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</w:t>
            </w:r>
          </w:p>
          <w:p>
            <w:pPr>
              <w:pStyle w:val="12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исполнительной власти Тюменской области (по согласованию);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региональный благотворительный фонд «Старшее поколение»;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информации  о добровольческом (волонтерском) движении среди граждан старшего возраста  в социально-значимых учреждениях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по мере необходимости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волонтеров (добровольцев) старшего возраста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региональный благотворительный фонд «Старшее поколение»;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чат-бота в официальном аккаунте Штаб-квартиры «серебряного» добровольчества в социальной сети «ВКонтакте»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Упрощение процедуры получения первичной информации по вступлению в движение «серебряных» добровольцев (волонтеров)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кросс-маркетинговых решений при распространении информации  о движении добровольческого (волонтерского) движения среди граждан старшего возраста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охватов информационных кампаний за счет использования кросс-маркетинговых технологий продвижения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региональный благотворительный фонд «Старшее поколение»;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областного openair фестиваля «серебряного» добровольчества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развития добровольчества (волонтерства) среди граждан старшего поколения; увеличение количества волонтеров (добровольцев) старшего возраста в формате openair фестивалей «серебряного» добровольчества с презентаций направлений и волонтерских проектов Штаб-квартиры «серебряного» добровольчества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исполнительной власти Тюменской области (по согласованию);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региональный благотворительный фонд «Старшее поколение»;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промо-акций при распространении информации  о добровольческом (волонтерском) движении среди граждан старшего возраста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охватов информационных кампаний за счет использования современных маркетинговых инструментов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региональный благотворительный фонд «Старшее поколение»;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регистрации «серебряных» волонтеров (добровольцев) на сайте DOBRO.RU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единого подхода к  регистрации и верификации деятельности добровольцев (волонтеров) старшего возраста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тематических флешмобов, челленджей, в том числе в социальных сетях, популяризирующих «серебряное» добровольческое движение в Тюменской области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популярности волонтерства среди граждан пожилого возраста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региональный благотворительный фонд «Старшее поколение»;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eastAsia="Arial" w:cs="Arial"/>
                <w:color w:val="000000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lang w:eastAsia="ru-RU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добровольчества;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Съемка социальных роликов о значимости волонтерства среди граждан пожилого возраста, запуск онлайн-челленджей, в которых опытные волонтеры рассказывают о своей деятельности и миссии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позитивного образа добровольческой (волонтерской) деятельности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региональный благотворительный фонд «Старшее поколение»;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eastAsia="Arial" w:cs="Arial"/>
                <w:color w:val="000000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lang w:eastAsia="ru-RU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акции «День открытых дверей»:  Знакомство с деятельностью «серебряных» волонтеров в различных форматах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представителей «серебряного» возраста к волонтерской деятельности и поддержание интереса у старшего поколения к участию в волонтерской деятельности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региональный благотворительный фонд «Старшее поколение»;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eastAsia="Arial" w:cs="Arial"/>
                <w:color w:val="000000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lang w:eastAsia="ru-RU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областного конкурса на звание лучший волонтер «Прорыв года»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«серебряных» волонтеров к активной деятельности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региональный благотворительный фонд «Старшее поколение»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гражданами предпенсионного возраста: информирование, ознакомление, вручение информационной карты будущего активного пенсионера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граждан пожилого возраста, занимающихся добровольческой деятельностью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труда </w:t>
            </w:r>
            <w:r>
              <w:rPr>
                <w:rFonts w:eastAsia="Times New Roman" w:cs="Times New Roman"/>
                <w:sz w:val="24"/>
                <w:szCs w:val="24"/>
              </w:rPr>
              <w:t>и занятости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населения Тюменской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eastAsia="Arial" w:cs="Arial"/>
                <w:color w:val="000000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lang w:eastAsia="ru-RU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 6. Организация  обучения  «серебряных» добровольцев (волонтеров) и актива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«серебряного»  добровольческого (волонтерского) движения в Тюменской области</w:t>
            </w:r>
          </w:p>
        </w:tc>
      </w:tr>
      <w:tr>
        <w:trPr/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реализация и систематизация программ обучения и сопровождения «серебряных» добровольцев (волонтеров) и актива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 добровольческого (волонтерского) движения в Тюменской области с использованием инновационных форматов по  единым  образовательным  модулям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Ежеквартально (в течение всего срока реализации)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инновационных подходов в обучении добровольческого (волонтерского) актива, их систематическая актуализация, повышение квалификации «серебряных» добровольцев (волонтеров)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Областной школы «серебряного» добровольца в формате «дня единых действий»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Ежегодно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(не менее двух раз в год)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Областной школы «серебряного» добровольца в формате «дня единых действий» во всех филиалах Штаб-квартиры «серебряного» добровольчества в Тюменской области.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центры социального обслуживания населения</w:t>
            </w:r>
          </w:p>
        </w:tc>
      </w:tr>
      <w:tr>
        <w:trPr/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обучающих мероприятий, направленных на точечное развитие компетенций «серебряных» добровольцев (волонтеров) и актива «серебряного»  добровольческого (волонтерского) движения Тюменской области с привлечением узкопрофильных специалистов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Ежегодно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(в течение всего срока реализации)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компетенций «серебряных» добровольцев (волонтеров) и актива</w:t>
            </w:r>
          </w:p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 добровольческого (волонтерского) движения Тюменской области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серии выездных интенсивов по развитию движения «серебряного» добровольчества для тимлидеров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Ежегодно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(не менее двух раз в год)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способствующих повышению квалификаций тимлидеров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стажировочных программ для «серебряных» добровольцев (волонтеров) и актива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 добровольческого (волонтерского) движения Тюменской области на региональном уровне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Ежеквартально (в течение всего срока реализации)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межтерриториального обмена опытом, выявление действующих практик с возможностью дальнейшего тиражирования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«серебряных» добровольцев (волонтеров) и актива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 добровольческого (волонтерского) движения Тюменской области в программу мобильности волонтеров, обеспечение мультипликативности практик и обмена опытом в области «серебряного»  добровольчества (волонтерства) на территории РФ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мотивации и развитие компетенций «серебряных» добровольцев (волонтеров), путем предоставления возможности участия в обучающих стажировках, а также в крупнейших федеральных и международных событиях в качестве добровольцев (волонтеров)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eastAsia="Arial" w:cs="Arial"/>
                <w:color w:val="000000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lang w:eastAsia="ru-RU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 xml:space="preserve">Обеспечение обновления медиатеки на образовательном Интернет-портале компетенций </w:t>
            </w:r>
            <w:hyperlink r:id="rId3">
              <w:r>
                <w:rPr>
                  <w:sz w:val="24"/>
                  <w:szCs w:val="24"/>
                </w:rPr>
                <w:t>https://dobroskills.ru</w:t>
              </w:r>
            </w:hyperlink>
            <w:r>
              <w:rPr>
                <w:sz w:val="24"/>
                <w:szCs w:val="24"/>
              </w:rPr>
              <w:t xml:space="preserve"> для организации онлайн обучения «серебряных» добровольцев (волонтеров) и актива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 добровольческого (волонтерского) движения Тюменской области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всего срока реализации)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условий для доступного и комплексного обучения «серебряных» добровольцев (волонтеров), а также  развитие дополнительного канала трансляции добровольческого (волонтерского) опыта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eastAsia="Arial" w:cs="Arial"/>
                <w:color w:val="000000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lang w:eastAsia="ru-RU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7. Привлечение  «серебряных» волонтеров  к  реализации типовой модели системы долговременного ухода за гражданами пожилого возраста и инвалидами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проектов, направленных на участие «серебряных» волонтеров в мероприятиях, акциях по профилактике одиночества маломобильных граждан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жизни одиноких, маломобильных граждан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управления социальной защиты населения; центры (комплексные центры) социального обслуживания населения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«серебряных» волонтеров к реализации мероприятий по информированию населения о системе долговременного ухода, реализуемой в Тюменской области  (распространение информационной печатной продукции, создание постов в социальных сетях от «серебряных» волонтеров и т.п., организация информационных рейдов в поликлиниках и т.п.)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информированности населения о системе долговременного ухода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управления социальной защиты населения; центры (комплексные центры) социального обслуживания населения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проектов, направленных на участие «серебряных» волонтеров в мероприятиях по выявлению граждан, нуждающихся в уходе (создание групп взаимодействия с управляющим компаниями, Почтой России и т.п.)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выявление граждан, нуждающихся в уходе; принятие соответствующих мер по оперативной организации социального обслуживания нуждающихся граждан; совершенствование в регионе системы по выявлению граждан, нуждающихся в уходе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управления социальной защиты населения, центры (комплексные центры) социального обслуживания населения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программы «Передышка» для лиц, осуществляющих уход за тяжелобольными гражданами силами «серебряных» волонтеров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поддержки родственного ухода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 АУ СОН ТО и ДПО «Региональный центр активного долголетия, геронтологии и реабилитации»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проектов, направленных на привлечение «серебряных» волонтеров к работе с пожилыми людьми в полустационарной форме обслуживания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жизни пожилых граждан, обслуживаемых в отделениях дневного пребывания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управления социальной защиты населения, центры (комплексные центры) социального обслуживания населения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филиалов Областной Штаб-квартиры «серебряного» добровольчества на базе стационарных учреждений социального обслуживания населения и их организационно-методическое сопровождение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качества жизни пожилых граждан, обслуживаемых в стационарных учреждениях социального обслуживания населения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управления социальной защиты населения, стационарные учреждения социального обслуживания населения</w:t>
            </w:r>
          </w:p>
        </w:tc>
      </w:tr>
      <w:tr>
        <w:trPr/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8. Совершенствование уровня теоретической и практической подготовки «серебряных» добровольцев для содействия профессиональным службам в сфере социального обслуживания и социальной поддержки населения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образовательных программ для волонтеров пожилого возраста навыкам общения, ухода и социального сопровождения  граждан, нуждающихся в постоянном  постороннем уходе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квалифицированных кадров из числа пожилых волонтеров в части организации ухода за нуждающимися людьми; развитие социального волонтер</w:t>
            </w:r>
            <w:bookmarkStart w:id="1" w:name="_GoBack"/>
            <w:bookmarkEnd w:id="1"/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волонтеров пожилого возраста навыкам общения, ухода и социального сопровождения  граждан, нуждающихся в постоянном  постороннем уходе по  образовательным программам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квалифицированных кадров из числа пожилых волонтеров в части организации ухода за нуждающимися людьми; развитие социального волонтерства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психологических тренингов для «серебряных» волонтеров по особенностям общения с гражданами, нуждающимися в постоянном уходе, и с родственниками, осуществляющими уход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квалифицированных кадров из числа пожилых волонтеров в части организации ухода за нуждающимися людьми; развитие социального волонтерства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отбор и  обучение «серебряных» волонтеров  для участия в реализации программы «Передышка» для лиц, осуществляющих уход за тяжелобольными гражданами силами «серебряных» волонтеров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квалифицированных кадров из числа пожилых волонтеров в части организации ухода за нуждающимися людьми; развитие социального волонтерства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 9. Создание единой  системы  стимулирования  деятельности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«серебряных» добровольцев (волонтеров) в Тюменской области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и учет индивидуальных потребностей «серебряных» добровольцев (волонтеров) с целью модификации традиционных форм поощрения и стимулирования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Ежеквартально (в течение всего срока реализации)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актуальной информации об индивидуальных потребностях «серебряных» добровольцев (волонтеров), возможность варьирования форм мотивации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системы учета добровольческого (волонтерского) опыта. Формирование «карьерного» портфолио и рейтинга (топ-листа) «серебряных» добровольцев (волонтеров) по итогам работы. Определение порядка рейтинговой системы и порядка начисления баллов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Ежемесячно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(в течение всего периода реализации)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обзора результатов деятельности «серебряных» добровольцев (волонтеров), построение рейтинга эффективности, достижение «прозрачности» в системе поощрения «серебряных» добровольцев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авторских мотивационных проектов (Мистер X» ‒ деловые и культурные встречи с известными персонами, лидерами мнений; бесплатное участие в автограф–сессиях; «Волонтерский weekend» и т.п.)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Ежемесячно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мотивации добровольческой (волонтерской) деятельности, увеличение актива «серебряных» добровольцев (волонтеров)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центры (комплексные центры) социального обслуживания населения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и тиражирование проекта партнерского взаимодействия с бизнес - сообществом «D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».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2022 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сотрудничества со стейкхолдерами с целью «премирования» «серебряных добровольцев (волонтеров)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Регионального форума «серебряных» добровольцев (волонтеров).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Ежегодно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(в течение всего периода реализации)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ежегодной площадки по обмену лучшими региональными практиками, проектирование перспективных направлений в работе на плановый период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программы мероприятий, направленной на психологическую поддержку ресурсного состояния и сопровождение «серебряных» добровольцев (волонтеров) в индивидуальных и групповых форматах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2022 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ресурсного состояния актива «серебряных» добровольцев (волонтеров), обеспечение комфортного участия граждан пожилого возраста в добровольческой (волонтерской) деятельности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Признание заслуг «серебряных» добровольцев (волонтеров) через награждение специализированными почетными знаками, знаками отличия, званиями и наградами в рамках наградных систем субъектов РФ и наградной системы Российской Федерации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2022 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Признание значимости и повышение престижа  добровольческой (волонтерской) деятельности, увеличение актива «серебряных» добровольцев (волонтеров)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Областного Конкурса «Серебряный» волонтер – Дед Мороз (Снегурочка) года»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Ежегодно, до 30 декабря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поощрение талантливых и творческих «серебряных» волонтеров, участвующих в областной акции для граждан пожилого возраста «Новый год для всех»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региональный благотворительный фонд «Старшее поколение»;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10. Информационное сопровождение «серебряного» добровольчества (волонтерства)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единого областного контент-плана по освещению деятельности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 и Областной Штаб-квартиры «серебряного» добровольчества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Ежегодно, ежеквартально (в течение всего периода реализации)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единого областного контент-плана, синхронизация деятельности Областной Штаб-квартиры «серебряного» добровольчества и её представительств (филиалов), повышение эффективности добровольческого (волонтерского) движения среди граждан старшего возраста  в Тюменской области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достижения единого визуального стиля (айдентики) в оформлении официальных сообществ представительств добровольческого (волонтерского) движения среди граждан старшего возраста  в Тюменской области (филиалов Областной Штаб-квартиры «серебряного» добровольчества) в социальных сетях в соответствии с разработанным брендбуком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2022 – 2023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унификации в оформлении, популяризация бреда Областной Штаб-квартиры «серебряного» добровольчества на территории региона и за его пределами, обеспечение узнаваемости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10.3.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Разработка и реализация ежегодных информационных кампаний по привлечению   граждан старшего возраста к добровольческой (волонтерской) деятельности, продвижению идей добровольчества (волонтерства) в соответствии с единым календарным планом  мероприятий Тюменской области по развитию добровольчества (волонтерства) среди граждан старшего возраста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2022 – 2025 гг.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trike/>
                <w:spacing w:val="2"/>
                <w:sz w:val="24"/>
                <w:szCs w:val="24"/>
                <w:shd w:fill="FFFF00" w:val="clear"/>
              </w:rPr>
            </w:pPr>
            <w:r>
              <w:rPr>
                <w:strike/>
                <w:spacing w:val="2"/>
                <w:sz w:val="24"/>
                <w:szCs w:val="24"/>
                <w:shd w:fill="FFFF00" w:val="clear"/>
              </w:rPr>
            </w:r>
          </w:p>
          <w:p>
            <w:pPr>
              <w:pStyle w:val="12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положительного имиджа и репутации Областной Штаб-квартиры «серебряного» добровольчества, а также её филиалов на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территории региона,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с использованием современных маркетинговых инструментов; увеличение количества участников  «серебряного» добровольчества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общественным связям, коммуникациям и молодежной политике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региональный благотворительный фонд «Старшее поколение»;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кросс-промо акций: реализация совместных программ продвижения с представителями бизнес-сообщества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2022 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охватов информационных кампаний за счет использования современных маркетинговых инструментов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Style w:val="Style10"/>
                <w:rFonts w:eastAsia="Times New Roman" w:cs="Times New Roman" w:ascii="Arial" w:hAnsi="Arial"/>
                <w:color w:val="000000"/>
                <w:sz w:val="24"/>
                <w:szCs w:val="24"/>
                <w:u w:val="none"/>
                <w:lang w:val="ru-RU"/>
              </w:rPr>
              <w:t>Координационный ресурсный центр поддержки добровольческого (волонтерского) движения Тюменской области;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областного корпуса «серебряных» медиаволонтеров с целью освещения деятельности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2022 – 2023 гг. (работа в течение всего периода реализации)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возможностей информирования и привлечения старшего поколения к добровольческой (волонтерской) деятельности, функционирование площадок для реализации творческого потенциала «серебряных» добровольцев (волонтеров)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«серебряного» добровольчества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производства медиаконтента о реализации добровольческой (волонтерской) деятельности и его распространения через корпоративные каналы трансляции Областной Штаб-квартиры «серебряного» добровольчества (работа добровольческого телевидения «Герань-Медиа», TikTok канала, YouTube канала)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2025 гг.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эффективных внутренних каналов трансляции, функционирование площадок для реализации творческого потенциала «серебряных» добровольцев (волонтеров), повышение внимания СМИ к добровольческим (волонтерским) практикам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eastAsia="Arial" w:cs="Arial"/>
                <w:color w:val="000000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lang w:eastAsia="ru-RU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добровольчества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коллаборации работы «серебряных» волонтеров с представителями местных СМИ с целью освещения и продвижения деятельности «серебряных» волонтеров в муниципальной территории посредством самостоятельного диалога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добровольческого движения, увеличение числа «серебряных» добровольцев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региональный благотворительный фонд «Старшее поколение»;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eastAsia="Arial" w:cs="Arial"/>
                <w:color w:val="000000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lang w:eastAsia="ru-RU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добровольчества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лучших «серебряных» кейсов на сервисе по поиску лучших практик «Смартека»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добровольческого движения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социального развития Тюменской области; АУ СОН ТО и ДПО «Региональный центр активного долголетия, геронтологии и реабилитации»;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Тюменский региональный благотворительный фонд «Старшее поколение»;</w:t>
            </w:r>
          </w:p>
          <w:p>
            <w:pPr>
              <w:pStyle w:val="Style16"/>
              <w:widowControl w:val="false"/>
              <w:jc w:val="center"/>
              <w:rPr>
                <w:rFonts w:ascii="Arial" w:hAnsi="Arial" w:eastAsia="Arial" w:cs="Arial"/>
                <w:color w:val="000000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lang w:eastAsia="ru-RU"/>
              </w:rPr>
              <w:t>АНО «Штаб-квартира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«серебряного» добровольчества</w:t>
            </w:r>
          </w:p>
        </w:tc>
      </w:tr>
    </w:tbl>
    <w:p>
      <w:pPr>
        <w:pStyle w:val="3"/>
        <w:shd w:val="clear" w:color="auto" w:fill="FFFFFF"/>
        <w:spacing w:lineRule="auto" w:line="240" w:before="0" w:after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3"/>
        <w:shd w:val="clear" w:color="auto" w:fill="FFFFFF"/>
        <w:spacing w:lineRule="auto" w:line="240" w:before="0" w:after="0"/>
        <w:jc w:val="center"/>
        <w:textAlignment w:val="baseline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en-US"/>
        </w:rPr>
        <w:t>III</w:t>
      </w:r>
      <w:r>
        <w:rPr>
          <w:b/>
          <w:color w:val="auto"/>
          <w:sz w:val="24"/>
          <w:szCs w:val="24"/>
        </w:rPr>
        <w:t>. Контрольные показатели реализации Дорожной карты</w:t>
      </w:r>
    </w:p>
    <w:tbl>
      <w:tblPr>
        <w:tblStyle w:val="af8"/>
        <w:tblW w:w="15103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864"/>
        <w:gridCol w:w="1524"/>
        <w:gridCol w:w="1764"/>
        <w:gridCol w:w="1692"/>
        <w:gridCol w:w="1644"/>
        <w:gridCol w:w="1614"/>
      </w:tblGrid>
      <w:tr>
        <w:trPr/>
        <w:tc>
          <w:tcPr>
            <w:tcW w:w="6864" w:type="dxa"/>
            <w:vMerge w:val="restart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Наименование контрольного показателя</w:t>
            </w:r>
          </w:p>
        </w:tc>
        <w:tc>
          <w:tcPr>
            <w:tcW w:w="1524" w:type="dxa"/>
            <w:vMerge w:val="restart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6714" w:type="dxa"/>
            <w:gridSpan w:val="4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Плановый период</w:t>
            </w:r>
          </w:p>
        </w:tc>
      </w:tr>
      <w:tr>
        <w:trPr/>
        <w:tc>
          <w:tcPr>
            <w:tcW w:w="6864" w:type="dxa"/>
            <w:vMerge w:val="continue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524" w:type="dxa"/>
            <w:vMerge w:val="continue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76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2022</w:t>
            </w:r>
          </w:p>
        </w:tc>
        <w:tc>
          <w:tcPr>
            <w:tcW w:w="1692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2023</w:t>
            </w:r>
          </w:p>
        </w:tc>
        <w:tc>
          <w:tcPr>
            <w:tcW w:w="164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2024</w:t>
            </w:r>
          </w:p>
        </w:tc>
        <w:tc>
          <w:tcPr>
            <w:tcW w:w="161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2025</w:t>
            </w:r>
          </w:p>
        </w:tc>
      </w:tr>
      <w:tr>
        <w:trPr/>
        <w:tc>
          <w:tcPr>
            <w:tcW w:w="686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1. Количество новых филиалов Штаб-квартиры «серебряного» добровольчества, действующих на базе  организации и учреждения, ведущие деятельность по вовлечению граждан старшего возраста в добровольческую (волонтерскую) деятельность</w:t>
            </w:r>
          </w:p>
        </w:tc>
        <w:tc>
          <w:tcPr>
            <w:tcW w:w="152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единиц</w:t>
            </w:r>
          </w:p>
        </w:tc>
        <w:tc>
          <w:tcPr>
            <w:tcW w:w="176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iCs/>
                <w:color w:val="C9211E"/>
                <w:sz w:val="20"/>
                <w:szCs w:val="20"/>
                <w:highlight w:val="yellow"/>
              </w:rPr>
            </w:pPr>
            <w:r>
              <w:rPr>
                <w:i/>
                <w:iCs/>
                <w:color w:val="C9211E"/>
                <w:sz w:val="20"/>
                <w:szCs w:val="20"/>
                <w:highlight w:val="yellow"/>
              </w:rPr>
            </w:r>
          </w:p>
        </w:tc>
        <w:tc>
          <w:tcPr>
            <w:tcW w:w="1692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64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61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</w:tr>
      <w:tr>
        <w:trPr/>
        <w:tc>
          <w:tcPr>
            <w:tcW w:w="686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2. Количество муниципальных образований Тюменской области, представляющих филиалы Штаб-квартиры «серебряного» добровольчества, имеющих профиль организации на платформе «dobro.ru»</w:t>
            </w:r>
          </w:p>
        </w:tc>
        <w:tc>
          <w:tcPr>
            <w:tcW w:w="152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единиц</w:t>
            </w:r>
          </w:p>
        </w:tc>
        <w:tc>
          <w:tcPr>
            <w:tcW w:w="176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692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64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61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</w:tc>
      </w:tr>
      <w:tr>
        <w:trPr/>
        <w:tc>
          <w:tcPr>
            <w:tcW w:w="686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both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3. Количество добровольцев (волонтёров) старшего возраста Тюменской области, зарегистрированных в системе сопровождения добровольческой деятельности «dobro.ru»</w:t>
            </w:r>
          </w:p>
        </w:tc>
        <w:tc>
          <w:tcPr>
            <w:tcW w:w="152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человек</w:t>
            </w:r>
          </w:p>
        </w:tc>
        <w:tc>
          <w:tcPr>
            <w:tcW w:w="176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3700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(50% от общего количества волонтеров)</w:t>
            </w:r>
          </w:p>
        </w:tc>
        <w:tc>
          <w:tcPr>
            <w:tcW w:w="1692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3900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(50% от общего количества волонтеров)</w:t>
            </w:r>
          </w:p>
        </w:tc>
        <w:tc>
          <w:tcPr>
            <w:tcW w:w="164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4100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(50% от общего количества волонтеров)</w:t>
            </w:r>
          </w:p>
        </w:tc>
        <w:tc>
          <w:tcPr>
            <w:tcW w:w="161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4200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(50% от общего количества волонтеров)</w:t>
            </w:r>
          </w:p>
        </w:tc>
      </w:tr>
      <w:tr>
        <w:trPr/>
        <w:tc>
          <w:tcPr>
            <w:tcW w:w="686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5. </w:t>
            </w:r>
            <w:r>
              <w:rPr>
                <w:rFonts w:eastAsia="Arial" w:cs="Arial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Количество квалифицированных специалистов, координаторов движения «серебряного» добровольчества, прошедших обучение в рамках запланированных программ повышения квалификации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both"/>
              <w:rPr>
                <w:i/>
                <w:i/>
                <w:iCs/>
                <w:color w:val="C9211E"/>
                <w:sz w:val="20"/>
                <w:szCs w:val="20"/>
                <w:highlight w:val="yellow"/>
              </w:rPr>
            </w:pPr>
            <w:r>
              <w:rPr>
                <w:i/>
                <w:iCs/>
                <w:color w:val="C9211E"/>
                <w:sz w:val="20"/>
                <w:szCs w:val="20"/>
                <w:highlight w:val="yellow"/>
              </w:rPr>
            </w:r>
          </w:p>
        </w:tc>
        <w:tc>
          <w:tcPr>
            <w:tcW w:w="152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человек</w:t>
            </w:r>
          </w:p>
        </w:tc>
        <w:tc>
          <w:tcPr>
            <w:tcW w:w="176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26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92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164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161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43</w:t>
            </w:r>
          </w:p>
        </w:tc>
      </w:tr>
      <w:tr>
        <w:trPr/>
        <w:tc>
          <w:tcPr>
            <w:tcW w:w="686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6. Количество граждан пожилого возраста, вовлеченных в волонтерскую деятельность</w:t>
            </w:r>
          </w:p>
        </w:tc>
        <w:tc>
          <w:tcPr>
            <w:tcW w:w="152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человек</w:t>
            </w:r>
          </w:p>
        </w:tc>
        <w:tc>
          <w:tcPr>
            <w:tcW w:w="176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7400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iCs/>
                <w:color w:val="C9211E"/>
                <w:sz w:val="20"/>
                <w:szCs w:val="20"/>
                <w:highlight w:val="yellow"/>
              </w:rPr>
            </w:pPr>
            <w:r>
              <w:rPr>
                <w:i/>
                <w:iCs/>
                <w:color w:val="C9211E"/>
                <w:sz w:val="20"/>
                <w:szCs w:val="20"/>
                <w:highlight w:val="yellow"/>
              </w:rPr>
            </w:r>
          </w:p>
        </w:tc>
        <w:tc>
          <w:tcPr>
            <w:tcW w:w="1692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7800</w:t>
            </w:r>
          </w:p>
        </w:tc>
        <w:tc>
          <w:tcPr>
            <w:tcW w:w="1644" w:type="dxa"/>
            <w:tcBorders/>
          </w:tcPr>
          <w:p>
            <w:pPr>
              <w:pStyle w:val="12"/>
              <w:widowControl w:val="false"/>
              <w:tabs>
                <w:tab w:val="clear" w:pos="720"/>
                <w:tab w:val="center" w:pos="882" w:leader="none"/>
                <w:tab w:val="right" w:pos="1764" w:leader="none"/>
              </w:tabs>
              <w:suppressAutoHyphens w:val="true"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>8200</w:t>
            </w:r>
          </w:p>
        </w:tc>
        <w:tc>
          <w:tcPr>
            <w:tcW w:w="1614" w:type="dxa"/>
            <w:tcBorders/>
          </w:tcPr>
          <w:p>
            <w:pPr>
              <w:pStyle w:val="12"/>
              <w:widowControl w:val="false"/>
              <w:tabs>
                <w:tab w:val="clear" w:pos="720"/>
                <w:tab w:val="center" w:pos="882" w:leader="none"/>
                <w:tab w:val="right" w:pos="1764" w:leader="none"/>
              </w:tabs>
              <w:suppressAutoHyphens w:val="true"/>
              <w:spacing w:lineRule="auto" w:line="240" w:before="0" w:after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eastAsia="Arial" w:cs="Arial"/>
                <w:color w:val="auto"/>
                <w:kern w:val="0"/>
                <w:sz w:val="24"/>
                <w:szCs w:val="24"/>
                <w:lang w:val="ru-RU" w:eastAsia="ru-RU" w:bidi="ar-SA"/>
              </w:rPr>
              <w:tab/>
              <w:t>8400</w:t>
            </w:r>
          </w:p>
        </w:tc>
      </w:tr>
    </w:tbl>
    <w:p>
      <w:pPr>
        <w:pStyle w:val="12"/>
        <w:spacing w:lineRule="auto" w:line="240"/>
        <w:rPr>
          <w:color w:val="FF0000"/>
          <w:sz w:val="24"/>
          <w:szCs w:val="24"/>
        </w:rPr>
      </w:pPr>
      <w:r>
        <w:rPr/>
      </w:r>
    </w:p>
    <w:sectPr>
      <w:type w:val="nextPage"/>
      <w:pgSz w:w="16838" w:h="11906"/>
      <w:pgMar w:left="1701" w:right="851" w:header="0" w:top="851" w:footer="0" w:bottom="851" w:gutter="0"/>
      <w:pgNumType w:start="1"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337e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12"/>
    <w:next w:val="12"/>
    <w:link w:val="10"/>
    <w:uiPriority w:val="99"/>
    <w:qFormat/>
    <w:rsid w:val="002b0619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 w:customStyle="1">
    <w:name w:val="Heading 2"/>
    <w:basedOn w:val="12"/>
    <w:next w:val="12"/>
    <w:link w:val="2"/>
    <w:uiPriority w:val="99"/>
    <w:qFormat/>
    <w:rsid w:val="002b0619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 w:customStyle="1">
    <w:name w:val="Heading 3"/>
    <w:basedOn w:val="12"/>
    <w:next w:val="12"/>
    <w:link w:val="3"/>
    <w:uiPriority w:val="99"/>
    <w:qFormat/>
    <w:rsid w:val="002b0619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 w:customStyle="1">
    <w:name w:val="Heading 4"/>
    <w:basedOn w:val="12"/>
    <w:next w:val="12"/>
    <w:link w:val="4"/>
    <w:uiPriority w:val="99"/>
    <w:qFormat/>
    <w:rsid w:val="002b0619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 w:customStyle="1">
    <w:name w:val="Heading 5"/>
    <w:basedOn w:val="12"/>
    <w:next w:val="12"/>
    <w:link w:val="5"/>
    <w:uiPriority w:val="99"/>
    <w:qFormat/>
    <w:rsid w:val="002b0619"/>
    <w:pPr>
      <w:keepNext w:val="true"/>
      <w:keepLines/>
      <w:spacing w:before="240" w:after="80"/>
      <w:outlineLvl w:val="4"/>
    </w:pPr>
    <w:rPr>
      <w:color w:val="666666"/>
    </w:rPr>
  </w:style>
  <w:style w:type="paragraph" w:styleId="6" w:customStyle="1">
    <w:name w:val="Heading 6"/>
    <w:basedOn w:val="12"/>
    <w:next w:val="12"/>
    <w:link w:val="6"/>
    <w:uiPriority w:val="99"/>
    <w:qFormat/>
    <w:rsid w:val="002b0619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9"/>
    <w:qFormat/>
    <w:locked/>
    <w:rsid w:val="002a04df"/>
    <w:rPr>
      <w:rFonts w:cs="Times New Roman"/>
      <w:sz w:val="40"/>
      <w:szCs w:val="40"/>
    </w:rPr>
  </w:style>
  <w:style w:type="character" w:styleId="21" w:customStyle="1">
    <w:name w:val="Заголовок 2 Знак"/>
    <w:basedOn w:val="DefaultParagraphFont"/>
    <w:link w:val="Heading2"/>
    <w:uiPriority w:val="99"/>
    <w:semiHidden/>
    <w:qFormat/>
    <w:locked/>
    <w:rsid w:val="00482f91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styleId="31" w:customStyle="1">
    <w:name w:val="Заголовок 3 Знак"/>
    <w:basedOn w:val="DefaultParagraphFont"/>
    <w:link w:val="Heading3"/>
    <w:uiPriority w:val="99"/>
    <w:semiHidden/>
    <w:qFormat/>
    <w:locked/>
    <w:rsid w:val="00482f91"/>
    <w:rPr>
      <w:rFonts w:ascii="Cambria" w:hAnsi="Cambria" w:cs="Times New Roman"/>
      <w:b/>
      <w:bCs/>
      <w:color w:val="000000"/>
      <w:sz w:val="26"/>
      <w:szCs w:val="26"/>
    </w:rPr>
  </w:style>
  <w:style w:type="character" w:styleId="41" w:customStyle="1">
    <w:name w:val="Заголовок 4 Знак"/>
    <w:basedOn w:val="DefaultParagraphFont"/>
    <w:link w:val="Heading4"/>
    <w:uiPriority w:val="99"/>
    <w:semiHidden/>
    <w:qFormat/>
    <w:locked/>
    <w:rsid w:val="00482f91"/>
    <w:rPr>
      <w:rFonts w:ascii="Calibri" w:hAnsi="Calibri" w:cs="Times New Roman"/>
      <w:b/>
      <w:bCs/>
      <w:color w:val="000000"/>
      <w:sz w:val="28"/>
      <w:szCs w:val="28"/>
    </w:rPr>
  </w:style>
  <w:style w:type="character" w:styleId="51" w:customStyle="1">
    <w:name w:val="Заголовок 5 Знак"/>
    <w:basedOn w:val="DefaultParagraphFont"/>
    <w:link w:val="Heading5"/>
    <w:uiPriority w:val="99"/>
    <w:semiHidden/>
    <w:qFormat/>
    <w:locked/>
    <w:rsid w:val="00482f9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61" w:customStyle="1">
    <w:name w:val="Заголовок 6 Знак"/>
    <w:basedOn w:val="DefaultParagraphFont"/>
    <w:link w:val="Heading6"/>
    <w:uiPriority w:val="99"/>
    <w:semiHidden/>
    <w:qFormat/>
    <w:locked/>
    <w:rsid w:val="00482f91"/>
    <w:rPr>
      <w:rFonts w:ascii="Calibri" w:hAnsi="Calibri" w:cs="Times New Roman"/>
      <w:b/>
      <w:bCs/>
      <w:color w:val="000000"/>
    </w:rPr>
  </w:style>
  <w:style w:type="character" w:styleId="Style8" w:customStyle="1">
    <w:name w:val="Название Знак"/>
    <w:basedOn w:val="DefaultParagraphFont"/>
    <w:uiPriority w:val="99"/>
    <w:qFormat/>
    <w:locked/>
    <w:rsid w:val="00482f91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styleId="Style9" w:customStyle="1">
    <w:name w:val="Подзаголовок Знак"/>
    <w:basedOn w:val="DefaultParagraphFont"/>
    <w:uiPriority w:val="99"/>
    <w:qFormat/>
    <w:locked/>
    <w:rsid w:val="00482f91"/>
    <w:rPr>
      <w:rFonts w:ascii="Cambria" w:hAnsi="Cambria" w:cs="Times New Roman"/>
      <w:color w:val="000000"/>
      <w:sz w:val="24"/>
      <w:szCs w:val="24"/>
    </w:rPr>
  </w:style>
  <w:style w:type="character" w:styleId="Style10" w:customStyle="1">
    <w:name w:val="Интернет-ссылка"/>
    <w:basedOn w:val="DefaultParagraphFont"/>
    <w:uiPriority w:val="99"/>
    <w:semiHidden/>
    <w:rsid w:val="00aa0f4c"/>
    <w:rPr>
      <w:rFonts w:cs="Times New Roman"/>
      <w:color w:val="0000FF"/>
      <w:u w:val="single"/>
    </w:rPr>
  </w:style>
  <w:style w:type="character" w:styleId="Style11" w:customStyle="1">
    <w:name w:val="Нижний колонтитул Знак"/>
    <w:basedOn w:val="DefaultParagraphFont"/>
    <w:uiPriority w:val="99"/>
    <w:qFormat/>
    <w:locked/>
    <w:rsid w:val="00072787"/>
    <w:rPr>
      <w:rFonts w:ascii="Times New Roman" w:hAnsi="Times New Roman" w:cs="Times New Roman"/>
      <w:color w:val="auto"/>
      <w:sz w:val="20"/>
      <w:szCs w:val="20"/>
    </w:rPr>
  </w:style>
  <w:style w:type="character" w:styleId="Style12">
    <w:name w:val="Выделение"/>
    <w:basedOn w:val="DefaultParagraphFont"/>
    <w:uiPriority w:val="99"/>
    <w:qFormat/>
    <w:rsid w:val="00c271ae"/>
    <w:rPr>
      <w:rFonts w:cs="Times New Roman"/>
      <w:i/>
      <w:iCs/>
    </w:rPr>
  </w:style>
  <w:style w:type="character" w:styleId="WW8Num1z3" w:customStyle="1">
    <w:name w:val="WW8Num1z3"/>
    <w:uiPriority w:val="99"/>
    <w:qFormat/>
    <w:rsid w:val="00df0427"/>
    <w:rPr>
      <w:rFonts w:ascii="Symbol" w:hAnsi="Symbol"/>
    </w:rPr>
  </w:style>
  <w:style w:type="character" w:styleId="W" w:customStyle="1">
    <w:name w:val="w"/>
    <w:basedOn w:val="DefaultParagraphFont"/>
    <w:qFormat/>
    <w:rsid w:val="00823271"/>
    <w:rPr/>
  </w:style>
  <w:style w:type="character" w:styleId="Applestylespan" w:customStyle="1">
    <w:name w:val="apple-style-span"/>
    <w:basedOn w:val="DefaultParagraphFont"/>
    <w:qFormat/>
    <w:rsid w:val="00cb780e"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764c86"/>
    <w:rPr>
      <w:rFonts w:ascii="Tahoma" w:hAnsi="Tahoma" w:cs="Tahoma"/>
      <w:color w:val="000000"/>
      <w:sz w:val="16"/>
      <w:szCs w:val="16"/>
    </w:rPr>
  </w:style>
  <w:style w:type="character" w:styleId="Style14" w:customStyle="1">
    <w:name w:val="Основной текст Знак"/>
    <w:basedOn w:val="DefaultParagraphFont"/>
    <w:qFormat/>
    <w:rsid w:val="005d782f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 w:customStyle="1">
    <w:name w:val="Заголовок"/>
    <w:basedOn w:val="Normal"/>
    <w:next w:val="Style16"/>
    <w:qFormat/>
    <w:rsid w:val="00390a8e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rsid w:val="005d782f"/>
    <w:pPr>
      <w:spacing w:lineRule="auto" w:line="240"/>
      <w:jc w:val="both"/>
    </w:pPr>
    <w:rPr>
      <w:rFonts w:ascii="Times New Roman" w:hAnsi="Times New Roman" w:eastAsia="Times New Roman" w:cs="Times New Roman"/>
      <w:color w:val="auto"/>
      <w:sz w:val="24"/>
      <w:szCs w:val="24"/>
      <w:lang w:eastAsia="zh-CN"/>
    </w:rPr>
  </w:style>
  <w:style w:type="paragraph" w:styleId="Style17">
    <w:name w:val="List"/>
    <w:basedOn w:val="Style16"/>
    <w:rsid w:val="00390a8e"/>
    <w:pPr/>
    <w:rPr>
      <w:rFonts w:cs="Arial"/>
    </w:rPr>
  </w:style>
  <w:style w:type="paragraph" w:styleId="Style18" w:customStyle="1">
    <w:name w:val="Caption"/>
    <w:basedOn w:val="Normal"/>
    <w:qFormat/>
    <w:rsid w:val="00390a8e"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90a8e"/>
    <w:pPr>
      <w:suppressLineNumbers/>
    </w:pPr>
    <w:rPr/>
  </w:style>
  <w:style w:type="paragraph" w:styleId="12" w:customStyle="1">
    <w:name w:val="Обычный1"/>
    <w:uiPriority w:val="99"/>
    <w:qFormat/>
    <w:rsid w:val="002b0619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ru-RU" w:eastAsia="ru-RU" w:bidi="ar-SA"/>
    </w:rPr>
  </w:style>
  <w:style w:type="paragraph" w:styleId="Style20">
    <w:name w:val="Title"/>
    <w:basedOn w:val="12"/>
    <w:next w:val="12"/>
    <w:uiPriority w:val="99"/>
    <w:qFormat/>
    <w:rsid w:val="002b0619"/>
    <w:pPr>
      <w:keepNext w:val="true"/>
      <w:keepLines/>
      <w:spacing w:before="0" w:after="60"/>
    </w:pPr>
    <w:rPr>
      <w:sz w:val="52"/>
      <w:szCs w:val="52"/>
    </w:rPr>
  </w:style>
  <w:style w:type="paragraph" w:styleId="Style21">
    <w:name w:val="Subtitle"/>
    <w:basedOn w:val="12"/>
    <w:next w:val="12"/>
    <w:uiPriority w:val="99"/>
    <w:qFormat/>
    <w:rsid w:val="002b0619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Formattext" w:customStyle="1">
    <w:name w:val="formattext"/>
    <w:basedOn w:val="Normal"/>
    <w:uiPriority w:val="99"/>
    <w:qFormat/>
    <w:rsid w:val="003a72ec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Style22" w:customStyle="1">
    <w:name w:val="Содержимое таблицы"/>
    <w:basedOn w:val="Normal"/>
    <w:uiPriority w:val="99"/>
    <w:qFormat/>
    <w:rsid w:val="008f42f7"/>
    <w:pPr>
      <w:widowControl w:val="false"/>
      <w:suppressLineNumbers/>
      <w:spacing w:lineRule="auto" w:line="240"/>
    </w:pPr>
    <w:rPr>
      <w:rFonts w:ascii="Times New Roman" w:hAnsi="Times New Roman" w:cs="Times New Roman"/>
      <w:color w:val="auto"/>
      <w:kern w:val="2"/>
      <w:sz w:val="24"/>
      <w:szCs w:val="24"/>
      <w:lang w:eastAsia="zh-CN"/>
    </w:rPr>
  </w:style>
  <w:style w:type="paragraph" w:styleId="Style23" w:customStyle="1">
    <w:name w:val="Верхний и нижний колонтитулы"/>
    <w:basedOn w:val="Normal"/>
    <w:qFormat/>
    <w:rsid w:val="00390a8e"/>
    <w:pPr/>
    <w:rPr/>
  </w:style>
  <w:style w:type="paragraph" w:styleId="Style24" w:customStyle="1">
    <w:name w:val="Footer"/>
    <w:basedOn w:val="Normal"/>
    <w:uiPriority w:val="99"/>
    <w:rsid w:val="00072787"/>
    <w:pPr>
      <w:tabs>
        <w:tab w:val="clear" w:pos="720"/>
        <w:tab w:val="center" w:pos="4153" w:leader="none"/>
        <w:tab w:val="right" w:pos="8306" w:leader="none"/>
      </w:tabs>
      <w:spacing w:lineRule="auto" w:line="240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5f59d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b05d04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Style25" w:customStyle="1">
    <w:name w:val="Прижатый влево"/>
    <w:basedOn w:val="Normal"/>
    <w:next w:val="Normal"/>
    <w:uiPriority w:val="99"/>
    <w:qFormat/>
    <w:rsid w:val="00aa4015"/>
    <w:pPr>
      <w:spacing w:lineRule="auto" w:line="240"/>
    </w:pPr>
    <w:rPr>
      <w:rFonts w:cs="Times New Roman"/>
      <w:color w:val="auto"/>
      <w:sz w:val="24"/>
      <w:szCs w:val="24"/>
    </w:rPr>
  </w:style>
  <w:style w:type="paragraph" w:styleId="Standard" w:customStyle="1">
    <w:name w:val="Standard"/>
    <w:next w:val="13"/>
    <w:qFormat/>
    <w:rsid w:val="00e67917"/>
    <w:pPr>
      <w:widowControl/>
      <w:suppressAutoHyphens w:val="true"/>
      <w:bidi w:val="0"/>
      <w:spacing w:lineRule="auto" w:line="360" w:before="0" w:after="0"/>
      <w:ind w:firstLine="709"/>
      <w:jc w:val="both"/>
      <w:textAlignment w:val="baseline"/>
    </w:pPr>
    <w:rPr>
      <w:rFonts w:ascii="Arial" w:hAnsi="Arial" w:eastAsia="Calibri" w:cs="Times New Roman"/>
      <w:color w:val="auto"/>
      <w:kern w:val="2"/>
      <w:sz w:val="26"/>
      <w:szCs w:val="24"/>
      <w:lang w:val="ru-RU" w:eastAsia="zh-CN" w:bidi="ar-SA"/>
    </w:rPr>
  </w:style>
  <w:style w:type="paragraph" w:styleId="13" w:customStyle="1">
    <w:name w:val="Библиография 1"/>
    <w:basedOn w:val="Normal"/>
    <w:qFormat/>
    <w:rsid w:val="00e67917"/>
    <w:pPr>
      <w:suppressLineNumbers/>
      <w:spacing w:lineRule="auto" w:line="360"/>
      <w:ind w:firstLine="709"/>
      <w:jc w:val="both"/>
      <w:textAlignment w:val="baseline"/>
    </w:pPr>
    <w:rPr>
      <w:rFonts w:eastAsia="Calibri" w:cs="Mangal"/>
      <w:color w:val="auto"/>
      <w:kern w:val="2"/>
      <w:sz w:val="26"/>
      <w:szCs w:val="24"/>
      <w:lang w:eastAsia="zh-CN"/>
    </w:rPr>
  </w:style>
  <w:style w:type="paragraph" w:styleId="BalloonText">
    <w:name w:val="Balloon Text"/>
    <w:basedOn w:val="Normal"/>
    <w:uiPriority w:val="99"/>
    <w:semiHidden/>
    <w:unhideWhenUsed/>
    <w:qFormat/>
    <w:rsid w:val="00764c86"/>
    <w:pPr>
      <w:spacing w:lineRule="auto" w:line="240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sid w:val="00390a8e"/>
    <w:pPr/>
    <w:rPr>
      <w:rFonts w:ascii="Courier New" w:hAnsi="Courier New" w:cs="Courier New"/>
      <w:sz w:val="20"/>
      <w:szCs w:val="20"/>
    </w:rPr>
  </w:style>
  <w:style w:type="paragraph" w:styleId="Style26" w:customStyle="1">
    <w:name w:val="Заголовок таблицы"/>
    <w:basedOn w:val="Style22"/>
    <w:qFormat/>
    <w:rsid w:val="00390a8e"/>
    <w:pPr>
      <w:jc w:val="center"/>
    </w:pPr>
    <w:rPr>
      <w:b/>
      <w:bCs/>
    </w:rPr>
  </w:style>
  <w:style w:type="paragraph" w:styleId="Western" w:customStyle="1">
    <w:name w:val="western"/>
    <w:basedOn w:val="Normal"/>
    <w:qFormat/>
    <w:rsid w:val="00390a8e"/>
    <w:pPr>
      <w:spacing w:before="280" w:after="0"/>
      <w:jc w:val="center"/>
    </w:pPr>
    <w:rPr>
      <w:rFonts w:ascii="Times New Roman" w:hAnsi="Times New Roman" w:eastAsia="Times New Roman"/>
      <w:b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2b0619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name w:val="Стиль"/>
    <w:basedOn w:val="TableNormal1"/>
    <w:uiPriority w:val="99"/>
    <w:rsid w:val="002b06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>
    <w:name w:val="Table Grid"/>
    <w:basedOn w:val="a1"/>
    <w:uiPriority w:val="99"/>
    <w:rsid w:val="0085037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52;&#1077;&#1085;&#1077;&#1076;&#1078;&#1084;&#1077;&#1085;&#1090;_&#1082;&#1072;&#1095;&#1077;&#1089;&#1090;&#1074;&#1072;" TargetMode="External"/><Relationship Id="rId3" Type="http://schemas.openxmlformats.org/officeDocument/2006/relationships/hyperlink" Target="https://dobroskills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ED01-0440-4956-A3F5-D62A36ED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Application>LibreOffice/7.0.4.2$Windows_X86_64 LibreOffice_project/dcf040e67528d9187c66b2379df5ea4407429775</Application>
  <AppVersion>15.0000</AppVersion>
  <Pages>29</Pages>
  <Words>5646</Words>
  <Characters>46921</Characters>
  <CharactersWithSpaces>52103</CharactersWithSpaces>
  <Paragraphs>666</Paragraphs>
  <Company>test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2022-01-13T02:39:00Z</dcterms:created>
  <dc:creator>Дмитрий</dc:creator>
  <dc:description/>
  <dc:language>ru-RU</dc:language>
  <cp:lastModifiedBy/>
  <cp:lastPrinted>2022-03-22T12:58:21Z</cp:lastPrinted>
  <dcterms:modified xsi:type="dcterms:W3CDTF">2022-03-22T12:59:34Z</dcterms:modified>
  <cp:revision>115</cp:revision>
  <dc:subject/>
  <dc:title>Утверждаю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